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85BBB" w14:textId="77777777" w:rsidR="00027C27" w:rsidRDefault="00027C27" w:rsidP="00B561C0"/>
    <w:p w14:paraId="54892786" w14:textId="77777777" w:rsidR="00620966" w:rsidRPr="00620966" w:rsidRDefault="00620966" w:rsidP="00620966"/>
    <w:p w14:paraId="16781760" w14:textId="77777777" w:rsidR="00620966" w:rsidRDefault="00620966" w:rsidP="00620966"/>
    <w:p w14:paraId="19AE07BB" w14:textId="77777777" w:rsidR="00620966" w:rsidRDefault="00620966" w:rsidP="00620966"/>
    <w:p w14:paraId="649EE59F" w14:textId="77777777" w:rsidR="00620966" w:rsidRDefault="00620966" w:rsidP="00620966"/>
    <w:p w14:paraId="173EE5DB" w14:textId="77777777" w:rsidR="00620966" w:rsidRDefault="00620966" w:rsidP="00620966"/>
    <w:p w14:paraId="4A5A5FD1" w14:textId="77777777" w:rsidR="00620966" w:rsidRDefault="00620966" w:rsidP="00620966"/>
    <w:p w14:paraId="01B27243" w14:textId="77777777" w:rsidR="00620966" w:rsidRDefault="00620966" w:rsidP="00620966"/>
    <w:p w14:paraId="708C3396" w14:textId="77777777" w:rsidR="00620966" w:rsidRDefault="00620966" w:rsidP="00620966"/>
    <w:p w14:paraId="23EB2924" w14:textId="77777777" w:rsidR="00620966" w:rsidRDefault="00620966" w:rsidP="00620966"/>
    <w:p w14:paraId="09BC9049" w14:textId="77777777" w:rsidR="00620966" w:rsidRDefault="00620966" w:rsidP="00620966"/>
    <w:p w14:paraId="40ABAB8F" w14:textId="77777777" w:rsidR="00620966" w:rsidRDefault="00620966" w:rsidP="00620966"/>
    <w:p w14:paraId="25764D76" w14:textId="77777777" w:rsidR="00620966" w:rsidRDefault="00620966" w:rsidP="00620966"/>
    <w:p w14:paraId="30FFB05E" w14:textId="77777777" w:rsidR="00620966" w:rsidRDefault="00620966" w:rsidP="00620966"/>
    <w:p w14:paraId="7ED97917" w14:textId="77777777" w:rsidR="00620966" w:rsidRDefault="00620966" w:rsidP="00620966"/>
    <w:p w14:paraId="4F2B09F9" w14:textId="77777777" w:rsidR="00620966" w:rsidRDefault="00620966" w:rsidP="00620966"/>
    <w:p w14:paraId="16976A48" w14:textId="77777777" w:rsidR="00620966" w:rsidRDefault="00620966" w:rsidP="00620966"/>
    <w:p w14:paraId="0BC17721" w14:textId="77777777" w:rsidR="00620966" w:rsidRDefault="00620966" w:rsidP="00620966"/>
    <w:p w14:paraId="69B570A8" w14:textId="77777777" w:rsidR="00620966" w:rsidRDefault="00620966" w:rsidP="00620966"/>
    <w:p w14:paraId="22F878CD" w14:textId="77777777" w:rsidR="00620966" w:rsidRDefault="00620966" w:rsidP="00620966"/>
    <w:p w14:paraId="5E611B14" w14:textId="77777777" w:rsidR="00620966" w:rsidRDefault="00620966" w:rsidP="00620966"/>
    <w:p w14:paraId="3D8E7EF1" w14:textId="77777777" w:rsidR="00620966" w:rsidRDefault="00620966" w:rsidP="00620966"/>
    <w:p w14:paraId="4A53F88D" w14:textId="77777777" w:rsidR="00620966" w:rsidRDefault="00620966" w:rsidP="00620966"/>
    <w:p w14:paraId="7DD75FB8" w14:textId="77777777" w:rsidR="002B0312" w:rsidRPr="00CC6009" w:rsidRDefault="002B0312" w:rsidP="006A5412">
      <w:pPr>
        <w:suppressAutoHyphens/>
        <w:autoSpaceDN w:val="0"/>
        <w:jc w:val="center"/>
        <w:textAlignment w:val="baseline"/>
        <w:rPr>
          <w:rFonts w:ascii="Times New Roman" w:hAnsi="Times New Roman"/>
          <w:szCs w:val="24"/>
          <w:lang w:eastAsia="en-GB"/>
        </w:rPr>
      </w:pPr>
      <w:r w:rsidRPr="00CC6009">
        <w:rPr>
          <w:rFonts w:cs="Arial"/>
          <w:b/>
          <w:bCs/>
          <w:color w:val="CC3300"/>
          <w:sz w:val="60"/>
          <w:szCs w:val="60"/>
          <w:lang w:eastAsia="en-GB"/>
        </w:rPr>
        <w:t>Pr</w:t>
      </w:r>
      <w:r w:rsidRPr="00CC6009">
        <w:rPr>
          <w:rFonts w:cs="Arial"/>
          <w:b/>
          <w:bCs/>
          <w:sz w:val="60"/>
          <w:szCs w:val="60"/>
          <w:lang w:eastAsia="en-GB"/>
        </w:rPr>
        <w:t>o</w:t>
      </w:r>
      <w:r w:rsidRPr="00CC6009">
        <w:rPr>
          <w:rFonts w:cs="Arial"/>
          <w:b/>
          <w:bCs/>
          <w:color w:val="CC3300"/>
          <w:sz w:val="60"/>
          <w:szCs w:val="60"/>
          <w:lang w:eastAsia="en-GB"/>
        </w:rPr>
        <w:t>curement J</w:t>
      </w:r>
      <w:r w:rsidRPr="00CC6009">
        <w:rPr>
          <w:rFonts w:cs="Arial"/>
          <w:b/>
          <w:bCs/>
          <w:sz w:val="60"/>
          <w:szCs w:val="60"/>
          <w:lang w:eastAsia="en-GB"/>
        </w:rPr>
        <w:t>o</w:t>
      </w:r>
      <w:r w:rsidRPr="00CC6009">
        <w:rPr>
          <w:rFonts w:cs="Arial"/>
          <w:b/>
          <w:bCs/>
          <w:color w:val="CC3300"/>
          <w:sz w:val="60"/>
          <w:szCs w:val="60"/>
          <w:lang w:eastAsia="en-GB"/>
        </w:rPr>
        <w:t>urney</w:t>
      </w:r>
    </w:p>
    <w:p w14:paraId="48248899" w14:textId="6289B31A" w:rsidR="00620966" w:rsidRDefault="00620966" w:rsidP="002B0312">
      <w:pPr>
        <w:tabs>
          <w:tab w:val="left" w:pos="3310"/>
        </w:tabs>
        <w:jc w:val="center"/>
      </w:pPr>
      <w:r w:rsidRPr="00620966">
        <w:rPr>
          <w:b/>
          <w:bCs/>
          <w:sz w:val="28"/>
          <w:szCs w:val="28"/>
        </w:rPr>
        <w:t xml:space="preserve">Contract Monitoring </w:t>
      </w:r>
      <w:r w:rsidR="00C24674">
        <w:rPr>
          <w:b/>
          <w:bCs/>
          <w:sz w:val="28"/>
          <w:szCs w:val="28"/>
        </w:rPr>
        <w:t>and</w:t>
      </w:r>
      <w:r w:rsidRPr="00620966">
        <w:rPr>
          <w:b/>
          <w:bCs/>
          <w:sz w:val="28"/>
          <w:szCs w:val="28"/>
        </w:rPr>
        <w:t xml:space="preserve"> Reporting Checklist</w:t>
      </w:r>
    </w:p>
    <w:p w14:paraId="5A4D2475" w14:textId="77777777" w:rsidR="00620966" w:rsidRDefault="00620966" w:rsidP="00620966"/>
    <w:p w14:paraId="32136EC2" w14:textId="77777777" w:rsidR="00620966" w:rsidRDefault="00620966" w:rsidP="00620966"/>
    <w:p w14:paraId="6A46B7F6" w14:textId="77777777" w:rsidR="00620966" w:rsidRDefault="00620966" w:rsidP="00620966"/>
    <w:p w14:paraId="124CEF1C" w14:textId="77777777" w:rsidR="00620966" w:rsidRDefault="00620966" w:rsidP="00620966"/>
    <w:p w14:paraId="71D05F8E" w14:textId="77777777" w:rsidR="00620966" w:rsidRDefault="00620966" w:rsidP="00620966"/>
    <w:p w14:paraId="1F7C496D" w14:textId="77777777" w:rsidR="00620966" w:rsidRDefault="00620966" w:rsidP="00620966"/>
    <w:p w14:paraId="3BA102D3" w14:textId="77777777" w:rsidR="00620966" w:rsidRDefault="00620966" w:rsidP="00620966"/>
    <w:p w14:paraId="7E2E1489" w14:textId="77777777" w:rsidR="009C3984" w:rsidRDefault="009C3984" w:rsidP="00620966"/>
    <w:p w14:paraId="751ED0F6" w14:textId="77777777" w:rsidR="009C3984" w:rsidRDefault="009C3984" w:rsidP="00620966"/>
    <w:p w14:paraId="448AD158" w14:textId="77777777" w:rsidR="009C3984" w:rsidRDefault="009C3984" w:rsidP="00620966"/>
    <w:p w14:paraId="0EAF4473" w14:textId="77777777" w:rsidR="009C3984" w:rsidRDefault="009C3984" w:rsidP="00620966"/>
    <w:p w14:paraId="547E692B" w14:textId="77777777" w:rsidR="006A5412" w:rsidRDefault="006A5412" w:rsidP="00620966"/>
    <w:p w14:paraId="113D8F66" w14:textId="77777777" w:rsidR="009C3984" w:rsidRDefault="009C3984" w:rsidP="00620966"/>
    <w:p w14:paraId="4166642C" w14:textId="77777777" w:rsidR="00620966" w:rsidRDefault="00620966" w:rsidP="00620966"/>
    <w:p w14:paraId="5EC85D84" w14:textId="77777777" w:rsidR="00620966" w:rsidRDefault="00620966" w:rsidP="00620966"/>
    <w:p w14:paraId="0B3BA486" w14:textId="77777777" w:rsidR="00620966" w:rsidRDefault="00620966" w:rsidP="00620966"/>
    <w:p w14:paraId="078813BF" w14:textId="77777777" w:rsidR="00620966" w:rsidRDefault="00620966" w:rsidP="00620966"/>
    <w:p w14:paraId="2594437B" w14:textId="77777777" w:rsidR="00620966" w:rsidRDefault="00620966" w:rsidP="00620966"/>
    <w:p w14:paraId="3979F1E3" w14:textId="77777777" w:rsidR="00620966" w:rsidRDefault="00620966" w:rsidP="00620966"/>
    <w:p w14:paraId="67F4D30A" w14:textId="77777777" w:rsidR="00620966" w:rsidRDefault="00620966" w:rsidP="00620966"/>
    <w:p w14:paraId="4F527DD3" w14:textId="77777777" w:rsidR="009C3984" w:rsidRDefault="009C3984" w:rsidP="00620966"/>
    <w:p w14:paraId="71B661A1" w14:textId="77777777" w:rsidR="00620966" w:rsidRDefault="00620966" w:rsidP="00620966"/>
    <w:p w14:paraId="44F71AB5" w14:textId="77777777" w:rsidR="00620966" w:rsidRDefault="00620966" w:rsidP="00620966"/>
    <w:tbl>
      <w:tblPr>
        <w:tblStyle w:val="TableGrid"/>
        <w:tblW w:w="9634" w:type="dxa"/>
        <w:tblInd w:w="-289" w:type="dxa"/>
        <w:tblLook w:val="04A0" w:firstRow="1" w:lastRow="0" w:firstColumn="1" w:lastColumn="0" w:noHBand="0" w:noVBand="1"/>
      </w:tblPr>
      <w:tblGrid>
        <w:gridCol w:w="2269"/>
        <w:gridCol w:w="2829"/>
        <w:gridCol w:w="2127"/>
        <w:gridCol w:w="2409"/>
      </w:tblGrid>
      <w:tr w:rsidR="00620966" w14:paraId="66062746" w14:textId="77777777" w:rsidTr="005D672C">
        <w:tc>
          <w:tcPr>
            <w:tcW w:w="2269" w:type="dxa"/>
          </w:tcPr>
          <w:p w14:paraId="2ABE02AA" w14:textId="77777777" w:rsidR="00620966" w:rsidRDefault="00620966" w:rsidP="005D672C">
            <w:bookmarkStart w:id="0" w:name="_Hlk219365176"/>
            <w:r w:rsidRPr="00ED5D57">
              <w:rPr>
                <w:b/>
                <w:bCs/>
              </w:rPr>
              <w:lastRenderedPageBreak/>
              <w:t>Area</w:t>
            </w:r>
          </w:p>
        </w:tc>
        <w:tc>
          <w:tcPr>
            <w:tcW w:w="2829" w:type="dxa"/>
          </w:tcPr>
          <w:p w14:paraId="5678FBB0" w14:textId="77777777" w:rsidR="00620966" w:rsidRDefault="00620966" w:rsidP="005D672C">
            <w:r w:rsidRPr="00ED5D57">
              <w:rPr>
                <w:b/>
                <w:bCs/>
              </w:rPr>
              <w:t>Action</w:t>
            </w:r>
          </w:p>
        </w:tc>
        <w:tc>
          <w:tcPr>
            <w:tcW w:w="2127" w:type="dxa"/>
          </w:tcPr>
          <w:p w14:paraId="7A5C7729" w14:textId="77777777" w:rsidR="00620966" w:rsidRDefault="00620966" w:rsidP="005D672C">
            <w:r w:rsidRPr="00ED5D57">
              <w:rPr>
                <w:b/>
                <w:bCs/>
              </w:rPr>
              <w:t>Frequency</w:t>
            </w:r>
          </w:p>
        </w:tc>
        <w:tc>
          <w:tcPr>
            <w:tcW w:w="2409" w:type="dxa"/>
          </w:tcPr>
          <w:p w14:paraId="48545322" w14:textId="77777777" w:rsidR="00620966" w:rsidRDefault="00620966" w:rsidP="005D672C">
            <w:r w:rsidRPr="00ED5D57">
              <w:rPr>
                <w:b/>
                <w:bCs/>
              </w:rPr>
              <w:t>Status / Notes</w:t>
            </w:r>
          </w:p>
        </w:tc>
      </w:tr>
      <w:tr w:rsidR="00620966" w14:paraId="06E865C8" w14:textId="77777777" w:rsidTr="005D672C">
        <w:tc>
          <w:tcPr>
            <w:tcW w:w="2269" w:type="dxa"/>
          </w:tcPr>
          <w:p w14:paraId="151DA62A" w14:textId="77777777" w:rsidR="00620966" w:rsidRDefault="00620966" w:rsidP="005D672C">
            <w:r w:rsidRPr="00ED5D57">
              <w:rPr>
                <w:b/>
                <w:bCs/>
              </w:rPr>
              <w:t>1. Performance Monitoring</w:t>
            </w:r>
          </w:p>
        </w:tc>
        <w:tc>
          <w:tcPr>
            <w:tcW w:w="2829" w:type="dxa"/>
          </w:tcPr>
          <w:p w14:paraId="2D7C44CB" w14:textId="77777777" w:rsidR="00620966" w:rsidRDefault="00620966" w:rsidP="005D672C">
            <w:r w:rsidRPr="00ED5D57">
              <w:t xml:space="preserve">Review </w:t>
            </w:r>
            <w:proofErr w:type="spellStart"/>
            <w:r w:rsidRPr="00ED5D57">
              <w:t>KPIs</w:t>
            </w:r>
            <w:proofErr w:type="spellEnd"/>
            <w:r>
              <w:t xml:space="preserve">, Balanced Scorecard feedback, </w:t>
            </w:r>
            <w:r w:rsidRPr="00ED5D57">
              <w:t>milestones</w:t>
            </w:r>
          </w:p>
        </w:tc>
        <w:tc>
          <w:tcPr>
            <w:tcW w:w="2127" w:type="dxa"/>
            <w:vAlign w:val="center"/>
          </w:tcPr>
          <w:p w14:paraId="1367E7AE" w14:textId="77777777" w:rsidR="00620966" w:rsidRDefault="00620966" w:rsidP="005D672C">
            <w:r w:rsidRPr="00ED5D57">
              <w:t>Monthly / Quarterly</w:t>
            </w:r>
          </w:p>
        </w:tc>
        <w:tc>
          <w:tcPr>
            <w:tcW w:w="2409" w:type="dxa"/>
          </w:tcPr>
          <w:p w14:paraId="142FC013" w14:textId="77777777" w:rsidR="00620966" w:rsidRDefault="00620966" w:rsidP="005D672C"/>
        </w:tc>
      </w:tr>
      <w:tr w:rsidR="00620966" w14:paraId="44DA8017" w14:textId="77777777" w:rsidTr="005D672C">
        <w:tc>
          <w:tcPr>
            <w:tcW w:w="2269" w:type="dxa"/>
          </w:tcPr>
          <w:p w14:paraId="1C956B12" w14:textId="77777777" w:rsidR="00620966" w:rsidRDefault="00620966" w:rsidP="005D672C"/>
        </w:tc>
        <w:tc>
          <w:tcPr>
            <w:tcW w:w="2829" w:type="dxa"/>
          </w:tcPr>
          <w:p w14:paraId="2B395AF8" w14:textId="77777777" w:rsidR="00620966" w:rsidRDefault="00620966" w:rsidP="005D672C">
            <w:r w:rsidRPr="00ED5D57">
              <w:t>Compare deliverables against contract requirements</w:t>
            </w:r>
          </w:p>
        </w:tc>
        <w:tc>
          <w:tcPr>
            <w:tcW w:w="2127" w:type="dxa"/>
          </w:tcPr>
          <w:p w14:paraId="5263B63B" w14:textId="77777777" w:rsidR="00620966" w:rsidRDefault="00620966" w:rsidP="005D672C">
            <w:r w:rsidRPr="00ED5D57">
              <w:t>Monthly / Quarterly</w:t>
            </w:r>
          </w:p>
        </w:tc>
        <w:tc>
          <w:tcPr>
            <w:tcW w:w="2409" w:type="dxa"/>
          </w:tcPr>
          <w:p w14:paraId="5652E2FA" w14:textId="77777777" w:rsidR="00620966" w:rsidRDefault="00620966" w:rsidP="005D672C"/>
        </w:tc>
      </w:tr>
      <w:tr w:rsidR="00620966" w14:paraId="4C018EB4" w14:textId="77777777" w:rsidTr="005D672C">
        <w:tc>
          <w:tcPr>
            <w:tcW w:w="2269" w:type="dxa"/>
          </w:tcPr>
          <w:p w14:paraId="0D70C215" w14:textId="77777777" w:rsidR="00620966" w:rsidRDefault="00620966" w:rsidP="005D672C"/>
        </w:tc>
        <w:tc>
          <w:tcPr>
            <w:tcW w:w="2829" w:type="dxa"/>
          </w:tcPr>
          <w:p w14:paraId="39D25D4C" w14:textId="77777777" w:rsidR="00620966" w:rsidRDefault="00620966" w:rsidP="005D672C">
            <w:r w:rsidRPr="00ED5D57">
              <w:t>Conduct supplier meetings to discuss performance</w:t>
            </w:r>
          </w:p>
        </w:tc>
        <w:tc>
          <w:tcPr>
            <w:tcW w:w="2127" w:type="dxa"/>
          </w:tcPr>
          <w:p w14:paraId="5651F2E4" w14:textId="77777777" w:rsidR="00620966" w:rsidRDefault="00620966" w:rsidP="005D672C">
            <w:r w:rsidRPr="00ED5D57">
              <w:t>Monthly / Quarterly</w:t>
            </w:r>
          </w:p>
        </w:tc>
        <w:tc>
          <w:tcPr>
            <w:tcW w:w="2409" w:type="dxa"/>
          </w:tcPr>
          <w:p w14:paraId="20DFFD35" w14:textId="77777777" w:rsidR="00620966" w:rsidRDefault="00620966" w:rsidP="005D672C"/>
        </w:tc>
      </w:tr>
      <w:tr w:rsidR="00620966" w14:paraId="38B9B8B1" w14:textId="77777777" w:rsidTr="005D672C">
        <w:tc>
          <w:tcPr>
            <w:tcW w:w="2269" w:type="dxa"/>
          </w:tcPr>
          <w:p w14:paraId="72CC6EEC" w14:textId="77777777" w:rsidR="00620966" w:rsidRDefault="00620966" w:rsidP="005D672C">
            <w:r w:rsidRPr="00ED5D57">
              <w:rPr>
                <w:b/>
                <w:bCs/>
              </w:rPr>
              <w:t>2. Financial Monitoring</w:t>
            </w:r>
          </w:p>
        </w:tc>
        <w:tc>
          <w:tcPr>
            <w:tcW w:w="2829" w:type="dxa"/>
          </w:tcPr>
          <w:p w14:paraId="27C84447" w14:textId="77777777" w:rsidR="00620966" w:rsidRDefault="00620966" w:rsidP="005D672C">
            <w:r w:rsidRPr="00ED5D57">
              <w:t>Track budget vs actual spend</w:t>
            </w:r>
          </w:p>
        </w:tc>
        <w:tc>
          <w:tcPr>
            <w:tcW w:w="2127" w:type="dxa"/>
          </w:tcPr>
          <w:p w14:paraId="48F02B0A" w14:textId="77777777" w:rsidR="00620966" w:rsidRDefault="00620966" w:rsidP="005D672C">
            <w:r w:rsidRPr="00ED5D57">
              <w:t xml:space="preserve">Monthly </w:t>
            </w:r>
          </w:p>
        </w:tc>
        <w:tc>
          <w:tcPr>
            <w:tcW w:w="2409" w:type="dxa"/>
          </w:tcPr>
          <w:p w14:paraId="40AFF0E8" w14:textId="77777777" w:rsidR="00620966" w:rsidRDefault="00620966" w:rsidP="005D672C"/>
        </w:tc>
      </w:tr>
      <w:tr w:rsidR="00620966" w14:paraId="6A91CC76" w14:textId="77777777" w:rsidTr="005D672C">
        <w:tc>
          <w:tcPr>
            <w:tcW w:w="2269" w:type="dxa"/>
          </w:tcPr>
          <w:p w14:paraId="47EF31EC" w14:textId="77777777" w:rsidR="00620966" w:rsidRDefault="00620966" w:rsidP="005D672C"/>
        </w:tc>
        <w:tc>
          <w:tcPr>
            <w:tcW w:w="2829" w:type="dxa"/>
          </w:tcPr>
          <w:p w14:paraId="3E5AF97C" w14:textId="77777777" w:rsidR="00620966" w:rsidRDefault="00620966" w:rsidP="005D672C">
            <w:r w:rsidRPr="00ED5D57">
              <w:t>Flag any variances or overspending</w:t>
            </w:r>
          </w:p>
        </w:tc>
        <w:tc>
          <w:tcPr>
            <w:tcW w:w="2127" w:type="dxa"/>
          </w:tcPr>
          <w:p w14:paraId="4321E037" w14:textId="77777777" w:rsidR="00620966" w:rsidRDefault="00620966" w:rsidP="005D672C">
            <w:r w:rsidRPr="00ED5D57">
              <w:t>As needed</w:t>
            </w:r>
          </w:p>
        </w:tc>
        <w:tc>
          <w:tcPr>
            <w:tcW w:w="2409" w:type="dxa"/>
          </w:tcPr>
          <w:p w14:paraId="05A3737A" w14:textId="77777777" w:rsidR="00620966" w:rsidRDefault="00620966" w:rsidP="005D672C"/>
        </w:tc>
      </w:tr>
      <w:tr w:rsidR="00620966" w14:paraId="1C17BD95" w14:textId="77777777" w:rsidTr="005D672C">
        <w:tc>
          <w:tcPr>
            <w:tcW w:w="2269" w:type="dxa"/>
          </w:tcPr>
          <w:p w14:paraId="765DAD18" w14:textId="77777777" w:rsidR="00620966" w:rsidRDefault="00620966" w:rsidP="005D672C">
            <w:r w:rsidRPr="00ED5D57">
              <w:rPr>
                <w:b/>
                <w:bCs/>
              </w:rPr>
              <w:t>3. Risk Assessment</w:t>
            </w:r>
          </w:p>
        </w:tc>
        <w:tc>
          <w:tcPr>
            <w:tcW w:w="2829" w:type="dxa"/>
          </w:tcPr>
          <w:p w14:paraId="02C676F2" w14:textId="77777777" w:rsidR="00620966" w:rsidRPr="00ED5D57" w:rsidRDefault="00620966" w:rsidP="005D672C">
            <w:r w:rsidRPr="00ED5D57">
              <w:t>Identify new or emerging risks</w:t>
            </w:r>
          </w:p>
        </w:tc>
        <w:tc>
          <w:tcPr>
            <w:tcW w:w="2127" w:type="dxa"/>
          </w:tcPr>
          <w:p w14:paraId="12CDD3E5" w14:textId="77777777" w:rsidR="00620966" w:rsidRPr="00ED5D57" w:rsidRDefault="00620966" w:rsidP="005D672C">
            <w:r>
              <w:t>Ongoing</w:t>
            </w:r>
          </w:p>
        </w:tc>
        <w:tc>
          <w:tcPr>
            <w:tcW w:w="2409" w:type="dxa"/>
          </w:tcPr>
          <w:p w14:paraId="7D46B196" w14:textId="77777777" w:rsidR="00620966" w:rsidRDefault="00620966" w:rsidP="005D672C"/>
        </w:tc>
      </w:tr>
      <w:tr w:rsidR="00620966" w14:paraId="1515446D" w14:textId="77777777" w:rsidTr="005D672C">
        <w:tc>
          <w:tcPr>
            <w:tcW w:w="2269" w:type="dxa"/>
          </w:tcPr>
          <w:p w14:paraId="55D0BACB" w14:textId="77777777" w:rsidR="00620966" w:rsidRDefault="00620966" w:rsidP="005D672C"/>
        </w:tc>
        <w:tc>
          <w:tcPr>
            <w:tcW w:w="2829" w:type="dxa"/>
          </w:tcPr>
          <w:p w14:paraId="439AEA64" w14:textId="77777777" w:rsidR="00620966" w:rsidRPr="00ED5D57" w:rsidRDefault="00620966" w:rsidP="005D672C">
            <w:r w:rsidRPr="00ED5D57">
              <w:t>Update risk register &amp; mitigation actions</w:t>
            </w:r>
          </w:p>
        </w:tc>
        <w:tc>
          <w:tcPr>
            <w:tcW w:w="2127" w:type="dxa"/>
          </w:tcPr>
          <w:p w14:paraId="291EE6B4" w14:textId="77777777" w:rsidR="00620966" w:rsidRPr="00ED5D57" w:rsidRDefault="00620966" w:rsidP="005D672C">
            <w:r>
              <w:t>Monthly</w:t>
            </w:r>
          </w:p>
        </w:tc>
        <w:tc>
          <w:tcPr>
            <w:tcW w:w="2409" w:type="dxa"/>
          </w:tcPr>
          <w:p w14:paraId="21856235" w14:textId="77777777" w:rsidR="00620966" w:rsidRDefault="00620966" w:rsidP="005D672C"/>
        </w:tc>
      </w:tr>
      <w:tr w:rsidR="00620966" w14:paraId="06D4A2E9" w14:textId="77777777" w:rsidTr="005D672C">
        <w:tc>
          <w:tcPr>
            <w:tcW w:w="2269" w:type="dxa"/>
          </w:tcPr>
          <w:p w14:paraId="6BEED3C6" w14:textId="77777777" w:rsidR="00620966" w:rsidRDefault="00620966" w:rsidP="005D672C">
            <w:r w:rsidRPr="00ED5D57">
              <w:rPr>
                <w:b/>
                <w:bCs/>
              </w:rPr>
              <w:t>4. Compliance</w:t>
            </w:r>
          </w:p>
        </w:tc>
        <w:tc>
          <w:tcPr>
            <w:tcW w:w="2829" w:type="dxa"/>
          </w:tcPr>
          <w:p w14:paraId="443F4C63" w14:textId="77777777" w:rsidR="00620966" w:rsidRPr="00ED5D57" w:rsidRDefault="00620966" w:rsidP="005D672C">
            <w:r w:rsidRPr="00ED5D57">
              <w:t>Verify adherence to contract terms</w:t>
            </w:r>
          </w:p>
        </w:tc>
        <w:tc>
          <w:tcPr>
            <w:tcW w:w="2127" w:type="dxa"/>
          </w:tcPr>
          <w:p w14:paraId="4B625CBD" w14:textId="77777777" w:rsidR="00620966" w:rsidRPr="00ED5D57" w:rsidRDefault="00620966" w:rsidP="005D672C">
            <w:r w:rsidRPr="00ED5D57">
              <w:t>Quarterly</w:t>
            </w:r>
          </w:p>
        </w:tc>
        <w:tc>
          <w:tcPr>
            <w:tcW w:w="2409" w:type="dxa"/>
          </w:tcPr>
          <w:p w14:paraId="178C9248" w14:textId="77777777" w:rsidR="00620966" w:rsidRDefault="00620966" w:rsidP="005D672C"/>
        </w:tc>
      </w:tr>
      <w:tr w:rsidR="00620966" w14:paraId="073B9FEE" w14:textId="77777777" w:rsidTr="005D672C">
        <w:tc>
          <w:tcPr>
            <w:tcW w:w="2269" w:type="dxa"/>
          </w:tcPr>
          <w:p w14:paraId="267A7473" w14:textId="77777777" w:rsidR="00620966" w:rsidRDefault="00620966" w:rsidP="005D672C"/>
        </w:tc>
        <w:tc>
          <w:tcPr>
            <w:tcW w:w="2829" w:type="dxa"/>
          </w:tcPr>
          <w:p w14:paraId="42D23545" w14:textId="77777777" w:rsidR="00620966" w:rsidRPr="00ED5D57" w:rsidRDefault="00620966" w:rsidP="005D672C">
            <w:r w:rsidRPr="00ED5D57">
              <w:t>Ensure regulatory &amp; policy compliance</w:t>
            </w:r>
          </w:p>
        </w:tc>
        <w:tc>
          <w:tcPr>
            <w:tcW w:w="2127" w:type="dxa"/>
          </w:tcPr>
          <w:p w14:paraId="15527B93" w14:textId="77777777" w:rsidR="00620966" w:rsidRPr="00ED5D57" w:rsidRDefault="00620966" w:rsidP="005D672C">
            <w:r w:rsidRPr="00ED5D57">
              <w:t>Quarterly</w:t>
            </w:r>
          </w:p>
        </w:tc>
        <w:tc>
          <w:tcPr>
            <w:tcW w:w="2409" w:type="dxa"/>
          </w:tcPr>
          <w:p w14:paraId="185B7246" w14:textId="77777777" w:rsidR="00620966" w:rsidRDefault="00620966" w:rsidP="005D672C"/>
        </w:tc>
      </w:tr>
      <w:tr w:rsidR="00620966" w14:paraId="79C32076" w14:textId="77777777" w:rsidTr="005D672C">
        <w:tc>
          <w:tcPr>
            <w:tcW w:w="2269" w:type="dxa"/>
          </w:tcPr>
          <w:p w14:paraId="15731F4B" w14:textId="77777777" w:rsidR="00620966" w:rsidRDefault="00620966" w:rsidP="005D672C">
            <w:r w:rsidRPr="00ED5D57">
              <w:rPr>
                <w:b/>
                <w:bCs/>
              </w:rPr>
              <w:t>5. Issue &amp; Escalation Management</w:t>
            </w:r>
          </w:p>
        </w:tc>
        <w:tc>
          <w:tcPr>
            <w:tcW w:w="2829" w:type="dxa"/>
          </w:tcPr>
          <w:p w14:paraId="7C842BB3" w14:textId="77777777" w:rsidR="00620966" w:rsidRPr="00ED5D57" w:rsidRDefault="00620966" w:rsidP="005D672C">
            <w:r w:rsidRPr="00ED5D57">
              <w:t>Log incidents, delays, or non-compliance</w:t>
            </w:r>
          </w:p>
        </w:tc>
        <w:tc>
          <w:tcPr>
            <w:tcW w:w="2127" w:type="dxa"/>
          </w:tcPr>
          <w:p w14:paraId="758D7FB7" w14:textId="77777777" w:rsidR="00620966" w:rsidRPr="00ED5D57" w:rsidRDefault="00620966" w:rsidP="005D672C">
            <w:r w:rsidRPr="00ED5D57">
              <w:t>Ongoing</w:t>
            </w:r>
          </w:p>
        </w:tc>
        <w:tc>
          <w:tcPr>
            <w:tcW w:w="2409" w:type="dxa"/>
          </w:tcPr>
          <w:p w14:paraId="50697BE7" w14:textId="77777777" w:rsidR="00620966" w:rsidRDefault="00620966" w:rsidP="005D672C"/>
        </w:tc>
      </w:tr>
      <w:tr w:rsidR="00620966" w14:paraId="4663FADF" w14:textId="77777777" w:rsidTr="005D672C">
        <w:tc>
          <w:tcPr>
            <w:tcW w:w="2269" w:type="dxa"/>
          </w:tcPr>
          <w:p w14:paraId="4DC13D03" w14:textId="77777777" w:rsidR="00620966" w:rsidRDefault="00620966" w:rsidP="005D672C"/>
        </w:tc>
        <w:tc>
          <w:tcPr>
            <w:tcW w:w="2829" w:type="dxa"/>
          </w:tcPr>
          <w:p w14:paraId="094E7688" w14:textId="77777777" w:rsidR="00620966" w:rsidRPr="00ED5D57" w:rsidRDefault="00620966" w:rsidP="005D672C">
            <w:r w:rsidRPr="00ED5D57">
              <w:t>Escalate issues to senior management if unresolved</w:t>
            </w:r>
          </w:p>
        </w:tc>
        <w:tc>
          <w:tcPr>
            <w:tcW w:w="2127" w:type="dxa"/>
          </w:tcPr>
          <w:p w14:paraId="2225FC1A" w14:textId="77777777" w:rsidR="00620966" w:rsidRPr="00ED5D57" w:rsidRDefault="00620966" w:rsidP="005D672C">
            <w:r w:rsidRPr="00ED5D57">
              <w:t>As needed</w:t>
            </w:r>
          </w:p>
        </w:tc>
        <w:tc>
          <w:tcPr>
            <w:tcW w:w="2409" w:type="dxa"/>
          </w:tcPr>
          <w:p w14:paraId="264529DE" w14:textId="77777777" w:rsidR="00620966" w:rsidRDefault="00620966" w:rsidP="005D672C"/>
        </w:tc>
      </w:tr>
      <w:tr w:rsidR="00620966" w14:paraId="108BCD5C" w14:textId="77777777" w:rsidTr="005D672C">
        <w:tc>
          <w:tcPr>
            <w:tcW w:w="2269" w:type="dxa"/>
          </w:tcPr>
          <w:p w14:paraId="049C12F5" w14:textId="77777777" w:rsidR="00620966" w:rsidRDefault="00620966" w:rsidP="005D672C">
            <w:r w:rsidRPr="00ED5D57">
              <w:rPr>
                <w:b/>
                <w:bCs/>
              </w:rPr>
              <w:t>6. Reporting</w:t>
            </w:r>
          </w:p>
        </w:tc>
        <w:tc>
          <w:tcPr>
            <w:tcW w:w="2829" w:type="dxa"/>
          </w:tcPr>
          <w:p w14:paraId="72900197" w14:textId="77777777" w:rsidR="00620966" w:rsidRPr="00ED5D57" w:rsidRDefault="00620966" w:rsidP="005D672C">
            <w:r w:rsidRPr="00ED5D57">
              <w:t>Prepare performance &amp; risk report</w:t>
            </w:r>
          </w:p>
        </w:tc>
        <w:tc>
          <w:tcPr>
            <w:tcW w:w="2127" w:type="dxa"/>
          </w:tcPr>
          <w:p w14:paraId="1999EDBA" w14:textId="77777777" w:rsidR="00620966" w:rsidRPr="00ED5D57" w:rsidRDefault="00620966" w:rsidP="005D672C">
            <w:r w:rsidRPr="00ED5D57">
              <w:t>Monthly / Quarterly</w:t>
            </w:r>
          </w:p>
        </w:tc>
        <w:tc>
          <w:tcPr>
            <w:tcW w:w="2409" w:type="dxa"/>
          </w:tcPr>
          <w:p w14:paraId="4141B364" w14:textId="77777777" w:rsidR="00620966" w:rsidRDefault="00620966" w:rsidP="005D672C"/>
        </w:tc>
      </w:tr>
      <w:tr w:rsidR="00620966" w14:paraId="7734248D" w14:textId="77777777" w:rsidTr="005D672C">
        <w:tc>
          <w:tcPr>
            <w:tcW w:w="2269" w:type="dxa"/>
          </w:tcPr>
          <w:p w14:paraId="5E520794" w14:textId="77777777" w:rsidR="00620966" w:rsidRDefault="00620966" w:rsidP="005D672C"/>
        </w:tc>
        <w:tc>
          <w:tcPr>
            <w:tcW w:w="2829" w:type="dxa"/>
          </w:tcPr>
          <w:p w14:paraId="0BF9ABB6" w14:textId="77777777" w:rsidR="00620966" w:rsidRPr="00ED5D57" w:rsidRDefault="00620966" w:rsidP="005D672C">
            <w:r w:rsidRPr="00ED5D57">
              <w:t>Share report with relevant stakeholders</w:t>
            </w:r>
          </w:p>
        </w:tc>
        <w:tc>
          <w:tcPr>
            <w:tcW w:w="2127" w:type="dxa"/>
          </w:tcPr>
          <w:p w14:paraId="043D0AA9" w14:textId="77777777" w:rsidR="00620966" w:rsidRPr="00ED5D57" w:rsidRDefault="00620966" w:rsidP="005D672C">
            <w:r w:rsidRPr="00ED5D57">
              <w:t>Monthly / Quarterly</w:t>
            </w:r>
          </w:p>
        </w:tc>
        <w:tc>
          <w:tcPr>
            <w:tcW w:w="2409" w:type="dxa"/>
          </w:tcPr>
          <w:p w14:paraId="34CEA8F2" w14:textId="77777777" w:rsidR="00620966" w:rsidRDefault="00620966" w:rsidP="005D672C"/>
        </w:tc>
      </w:tr>
      <w:tr w:rsidR="00620966" w14:paraId="2EC4D653" w14:textId="77777777" w:rsidTr="005D672C">
        <w:tc>
          <w:tcPr>
            <w:tcW w:w="2269" w:type="dxa"/>
          </w:tcPr>
          <w:p w14:paraId="266B30DB" w14:textId="77777777" w:rsidR="00620966" w:rsidRDefault="00620966" w:rsidP="005D672C">
            <w:r w:rsidRPr="00ED5D57">
              <w:rPr>
                <w:b/>
                <w:bCs/>
              </w:rPr>
              <w:t>7. Documentation</w:t>
            </w:r>
          </w:p>
        </w:tc>
        <w:tc>
          <w:tcPr>
            <w:tcW w:w="2829" w:type="dxa"/>
          </w:tcPr>
          <w:p w14:paraId="793E104E" w14:textId="77777777" w:rsidR="00620966" w:rsidRPr="00ED5D57" w:rsidRDefault="00620966" w:rsidP="005D672C">
            <w:r w:rsidRPr="00ED5D57">
              <w:t>Maintain records of decisions, actions, communications</w:t>
            </w:r>
          </w:p>
        </w:tc>
        <w:tc>
          <w:tcPr>
            <w:tcW w:w="2127" w:type="dxa"/>
          </w:tcPr>
          <w:p w14:paraId="5D047CDE" w14:textId="77777777" w:rsidR="00620966" w:rsidRPr="00ED5D57" w:rsidRDefault="00620966" w:rsidP="005D672C">
            <w:r w:rsidRPr="00ED5D57">
              <w:t>Ongoing</w:t>
            </w:r>
          </w:p>
        </w:tc>
        <w:tc>
          <w:tcPr>
            <w:tcW w:w="2409" w:type="dxa"/>
          </w:tcPr>
          <w:p w14:paraId="1037264B" w14:textId="77777777" w:rsidR="00620966" w:rsidRDefault="00620966" w:rsidP="005D672C"/>
        </w:tc>
      </w:tr>
      <w:tr w:rsidR="00620966" w14:paraId="5622B5CD" w14:textId="77777777" w:rsidTr="005D672C">
        <w:tc>
          <w:tcPr>
            <w:tcW w:w="2269" w:type="dxa"/>
          </w:tcPr>
          <w:p w14:paraId="505F0824" w14:textId="77777777" w:rsidR="00620966" w:rsidRDefault="00620966" w:rsidP="005D672C"/>
        </w:tc>
        <w:tc>
          <w:tcPr>
            <w:tcW w:w="2829" w:type="dxa"/>
          </w:tcPr>
          <w:p w14:paraId="68C82CAF" w14:textId="77777777" w:rsidR="00620966" w:rsidRPr="00ED5D57" w:rsidRDefault="00620966" w:rsidP="005D672C">
            <w:r w:rsidRPr="00ED5D57">
              <w:t>Archive reports for audit &amp; future reference</w:t>
            </w:r>
          </w:p>
        </w:tc>
        <w:tc>
          <w:tcPr>
            <w:tcW w:w="2127" w:type="dxa"/>
            <w:vAlign w:val="center"/>
          </w:tcPr>
          <w:p w14:paraId="62672D15" w14:textId="77777777" w:rsidR="00620966" w:rsidRPr="00ED5D57" w:rsidRDefault="00620966" w:rsidP="005D672C">
            <w:r w:rsidRPr="00ED5D57">
              <w:t>Ongoing</w:t>
            </w:r>
          </w:p>
        </w:tc>
        <w:tc>
          <w:tcPr>
            <w:tcW w:w="2409" w:type="dxa"/>
          </w:tcPr>
          <w:p w14:paraId="2B3973F8" w14:textId="77777777" w:rsidR="00620966" w:rsidRDefault="00620966" w:rsidP="005D672C"/>
        </w:tc>
      </w:tr>
      <w:tr w:rsidR="00620966" w14:paraId="0565A4A7" w14:textId="77777777" w:rsidTr="005D672C">
        <w:tc>
          <w:tcPr>
            <w:tcW w:w="2269" w:type="dxa"/>
          </w:tcPr>
          <w:p w14:paraId="0CA568F8" w14:textId="77777777" w:rsidR="00620966" w:rsidRDefault="00620966" w:rsidP="005D672C">
            <w:r w:rsidRPr="00ED5D57">
              <w:rPr>
                <w:b/>
                <w:bCs/>
              </w:rPr>
              <w:t>8. Continuous Improvement</w:t>
            </w:r>
          </w:p>
        </w:tc>
        <w:tc>
          <w:tcPr>
            <w:tcW w:w="2829" w:type="dxa"/>
            <w:vAlign w:val="center"/>
          </w:tcPr>
          <w:p w14:paraId="40B8B05C" w14:textId="77777777" w:rsidR="00620966" w:rsidRPr="00ED5D57" w:rsidRDefault="00620966" w:rsidP="005D672C">
            <w:r w:rsidRPr="00ED5D57">
              <w:t>Review lessons learned &amp; apply to future contracts</w:t>
            </w:r>
          </w:p>
        </w:tc>
        <w:tc>
          <w:tcPr>
            <w:tcW w:w="2127" w:type="dxa"/>
          </w:tcPr>
          <w:p w14:paraId="08529117" w14:textId="77777777" w:rsidR="00620966" w:rsidRPr="00ED5D57" w:rsidRDefault="00620966" w:rsidP="005D672C">
            <w:r w:rsidRPr="00ED5D57">
              <w:t>Annually</w:t>
            </w:r>
          </w:p>
        </w:tc>
        <w:tc>
          <w:tcPr>
            <w:tcW w:w="2409" w:type="dxa"/>
          </w:tcPr>
          <w:p w14:paraId="6294E6C3" w14:textId="77777777" w:rsidR="00620966" w:rsidRDefault="00620966" w:rsidP="005D672C"/>
        </w:tc>
      </w:tr>
      <w:bookmarkEnd w:id="0"/>
    </w:tbl>
    <w:p w14:paraId="63F0DF93" w14:textId="77777777" w:rsidR="00620966" w:rsidRPr="00620966" w:rsidRDefault="00620966" w:rsidP="00620966"/>
    <w:sectPr w:rsidR="00620966" w:rsidRPr="00620966" w:rsidSect="00B561C0">
      <w:footerReference w:type="default" r:id="rId7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9A371" w14:textId="77777777" w:rsidR="00620966" w:rsidRDefault="00620966" w:rsidP="00620966">
      <w:r>
        <w:separator/>
      </w:r>
    </w:p>
  </w:endnote>
  <w:endnote w:type="continuationSeparator" w:id="0">
    <w:p w14:paraId="599DC2B8" w14:textId="77777777" w:rsidR="00620966" w:rsidRDefault="00620966" w:rsidP="00620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07E05" w14:textId="7F3991FF" w:rsidR="006A5412" w:rsidRPr="006A5412" w:rsidRDefault="006A5412" w:rsidP="006A5412">
    <w:pPr>
      <w:pStyle w:val="Footer"/>
      <w:ind w:left="-993" w:right="-897"/>
      <w:rPr>
        <w:rStyle w:val="normaltextrun"/>
        <w:sz w:val="22"/>
        <w:szCs w:val="22"/>
      </w:rPr>
    </w:pPr>
    <w:proofErr w:type="spellStart"/>
    <w:r w:rsidRPr="006A5412">
      <w:rPr>
        <w:rStyle w:val="normaltextrun"/>
        <w:rFonts w:cs="Arial"/>
        <w:color w:val="000000"/>
        <w:sz w:val="22"/>
        <w:szCs w:val="22"/>
        <w:shd w:val="clear" w:color="auto" w:fill="FFFFFF"/>
      </w:rPr>
      <w:t>R3</w:t>
    </w:r>
    <w:proofErr w:type="spellEnd"/>
    <w:r w:rsidRPr="006A5412">
      <w:rPr>
        <w:rStyle w:val="normaltextrun"/>
        <w:rFonts w:cs="Arial"/>
        <w:color w:val="000000"/>
        <w:sz w:val="22"/>
        <w:szCs w:val="22"/>
        <w:shd w:val="clear" w:color="auto" w:fill="FFFFFF"/>
      </w:rPr>
      <w:t>-164-A </w:t>
    </w:r>
    <w:r>
      <w:rPr>
        <w:rStyle w:val="normaltextrun"/>
        <w:rFonts w:cs="Arial"/>
        <w:color w:val="000000"/>
        <w:sz w:val="22"/>
        <w:szCs w:val="22"/>
        <w:shd w:val="clear" w:color="auto" w:fill="FFFFFF"/>
      </w:rPr>
      <w:t xml:space="preserve">                                                                                                                      </w:t>
    </w:r>
    <w:r w:rsidRPr="006A5412">
      <w:rPr>
        <w:rStyle w:val="eop"/>
        <w:rFonts w:cs="Arial"/>
        <w:color w:val="000000"/>
        <w:sz w:val="22"/>
        <w:szCs w:val="22"/>
        <w:shd w:val="clear" w:color="auto" w:fill="FFFFFF"/>
      </w:rPr>
      <w:t> </w:t>
    </w:r>
    <w:r w:rsidR="00620966">
      <w:rPr>
        <w:rStyle w:val="normaltextrun"/>
        <w:rFonts w:cs="Arial"/>
        <w:b/>
        <w:bCs/>
        <w:color w:val="CC3300"/>
        <w:shd w:val="clear" w:color="auto" w:fill="FFFFFF"/>
      </w:rPr>
      <w:t>Pr</w:t>
    </w:r>
    <w:r w:rsidR="00620966">
      <w:rPr>
        <w:rStyle w:val="normaltextrun"/>
        <w:rFonts w:cs="Arial"/>
        <w:b/>
        <w:bCs/>
        <w:color w:val="000000"/>
        <w:shd w:val="clear" w:color="auto" w:fill="FFFFFF"/>
      </w:rPr>
      <w:t>o</w:t>
    </w:r>
    <w:r w:rsidR="00620966">
      <w:rPr>
        <w:rStyle w:val="normaltextrun"/>
        <w:rFonts w:cs="Arial"/>
        <w:b/>
        <w:bCs/>
        <w:color w:val="CC3300"/>
        <w:shd w:val="clear" w:color="auto" w:fill="FFFFFF"/>
      </w:rPr>
      <w:t>curement J</w:t>
    </w:r>
    <w:r w:rsidR="00620966">
      <w:rPr>
        <w:rStyle w:val="normaltextrun"/>
        <w:rFonts w:cs="Arial"/>
        <w:b/>
        <w:bCs/>
        <w:color w:val="000000"/>
        <w:shd w:val="clear" w:color="auto" w:fill="FFFFFF"/>
      </w:rPr>
      <w:t>o</w:t>
    </w:r>
    <w:r w:rsidR="00620966">
      <w:rPr>
        <w:rStyle w:val="normaltextrun"/>
        <w:rFonts w:cs="Arial"/>
        <w:b/>
        <w:bCs/>
        <w:color w:val="CC3300"/>
        <w:shd w:val="clear" w:color="auto" w:fill="FFFFFF"/>
      </w:rPr>
      <w:t>urney</w:t>
    </w:r>
  </w:p>
  <w:p w14:paraId="6CEAD06A" w14:textId="10F67369" w:rsidR="00620966" w:rsidRPr="006A5412" w:rsidRDefault="00620966" w:rsidP="00620966">
    <w:pPr>
      <w:pStyle w:val="Footer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430F1" w14:textId="77777777" w:rsidR="00620966" w:rsidRDefault="00620966" w:rsidP="00620966">
      <w:r>
        <w:separator/>
      </w:r>
    </w:p>
  </w:footnote>
  <w:footnote w:type="continuationSeparator" w:id="0">
    <w:p w14:paraId="14419FA2" w14:textId="77777777" w:rsidR="00620966" w:rsidRDefault="00620966" w:rsidP="00620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6362469">
    <w:abstractNumId w:val="1"/>
  </w:num>
  <w:num w:numId="2" w16cid:durableId="1045835772">
    <w:abstractNumId w:val="0"/>
  </w:num>
  <w:num w:numId="3" w16cid:durableId="203178836">
    <w:abstractNumId w:val="0"/>
  </w:num>
  <w:num w:numId="4" w16cid:durableId="435247590">
    <w:abstractNumId w:val="0"/>
  </w:num>
  <w:num w:numId="5" w16cid:durableId="739333600">
    <w:abstractNumId w:val="1"/>
  </w:num>
  <w:num w:numId="6" w16cid:durableId="1453861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966"/>
    <w:rsid w:val="00027C27"/>
    <w:rsid w:val="000C0CF4"/>
    <w:rsid w:val="00281579"/>
    <w:rsid w:val="002B0312"/>
    <w:rsid w:val="00306C61"/>
    <w:rsid w:val="0037582B"/>
    <w:rsid w:val="005222A8"/>
    <w:rsid w:val="00620966"/>
    <w:rsid w:val="006A5412"/>
    <w:rsid w:val="007946ED"/>
    <w:rsid w:val="00857548"/>
    <w:rsid w:val="008A03A9"/>
    <w:rsid w:val="009B7615"/>
    <w:rsid w:val="009C3984"/>
    <w:rsid w:val="009E3BCF"/>
    <w:rsid w:val="00B51BDC"/>
    <w:rsid w:val="00B561C0"/>
    <w:rsid w:val="00B773CE"/>
    <w:rsid w:val="00C00B92"/>
    <w:rsid w:val="00C24674"/>
    <w:rsid w:val="00C91823"/>
    <w:rsid w:val="00D008AB"/>
    <w:rsid w:val="00F23E92"/>
    <w:rsid w:val="00F84755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D29DB08"/>
  <w15:chartTrackingRefBased/>
  <w15:docId w15:val="{CE4FC45D-37D3-4BDF-A89B-D2A45C3D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966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6209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9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96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96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96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96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966"/>
    <w:rPr>
      <w:rFonts w:eastAsiaTheme="majorEastAsia" w:cstheme="majorBidi"/>
      <w:i/>
      <w:iCs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966"/>
    <w:rPr>
      <w:rFonts w:eastAsiaTheme="majorEastAsia" w:cstheme="majorBidi"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966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966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966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966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209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96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96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096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6209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966"/>
    <w:rPr>
      <w:rFonts w:ascii="Arial" w:hAnsi="Arial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6209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9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966"/>
    <w:rPr>
      <w:rFonts w:ascii="Arial" w:hAnsi="Arial" w:cs="Times New Roman"/>
      <w:i/>
      <w:iCs/>
      <w:color w:val="0F4761" w:themeColor="accent1" w:themeShade="BF"/>
      <w:kern w:val="0"/>
      <w:sz w:val="24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62096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209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96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966"/>
    <w:rPr>
      <w:rFonts w:ascii="Arial" w:hAnsi="Arial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620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620966"/>
  </w:style>
  <w:style w:type="paragraph" w:customStyle="1" w:styleId="paragraph">
    <w:name w:val="paragraph"/>
    <w:basedOn w:val="Normal"/>
    <w:rsid w:val="00620966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eop">
    <w:name w:val="eop"/>
    <w:basedOn w:val="DefaultParagraphFont"/>
    <w:rsid w:val="00620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179</Words>
  <Characters>1060</Characters>
  <Application>Microsoft Office Word</Application>
  <DocSecurity>0</DocSecurity>
  <Lines>44</Lines>
  <Paragraphs>18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McCann-Tyrrell</dc:creator>
  <cp:keywords/>
  <dc:description/>
  <cp:lastModifiedBy>Lynn McCann-Tyrrell</cp:lastModifiedBy>
  <cp:revision>6</cp:revision>
  <dcterms:created xsi:type="dcterms:W3CDTF">2026-01-15T10:25:00Z</dcterms:created>
  <dcterms:modified xsi:type="dcterms:W3CDTF">2026-01-23T14:06:00Z</dcterms:modified>
</cp:coreProperties>
</file>