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ECDF" w14:textId="77777777" w:rsidR="00753D5A" w:rsidRDefault="00753D5A" w:rsidP="000D4BA0">
      <w:pPr>
        <w:rPr>
          <w:b/>
          <w:bCs/>
          <w:sz w:val="28"/>
          <w:szCs w:val="28"/>
        </w:rPr>
      </w:pPr>
    </w:p>
    <w:p w14:paraId="36F4D095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31D602A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A564C9D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FE45A80" w14:textId="77777777" w:rsidR="00982BE5" w:rsidRDefault="00982BE5" w:rsidP="000D4BA0">
      <w:pPr>
        <w:rPr>
          <w:b/>
          <w:bCs/>
          <w:sz w:val="28"/>
          <w:szCs w:val="28"/>
        </w:rPr>
      </w:pPr>
    </w:p>
    <w:p w14:paraId="7D18A91A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3B72094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58AB8CE" w14:textId="77777777" w:rsidR="00982BE5" w:rsidRDefault="00982BE5" w:rsidP="000D4BA0">
      <w:pPr>
        <w:rPr>
          <w:b/>
          <w:bCs/>
          <w:sz w:val="28"/>
          <w:szCs w:val="28"/>
        </w:rPr>
      </w:pPr>
    </w:p>
    <w:p w14:paraId="51AA39E7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F17BF90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7EBC296" w14:textId="77777777" w:rsidR="00982BE5" w:rsidRDefault="00982BE5" w:rsidP="000D4BA0">
      <w:pPr>
        <w:rPr>
          <w:b/>
          <w:bCs/>
          <w:sz w:val="28"/>
          <w:szCs w:val="28"/>
        </w:rPr>
      </w:pPr>
    </w:p>
    <w:p w14:paraId="3F76B4AF" w14:textId="77777777" w:rsidR="00982BE5" w:rsidRDefault="00982BE5" w:rsidP="000D4BA0">
      <w:pPr>
        <w:rPr>
          <w:b/>
          <w:bCs/>
          <w:sz w:val="28"/>
          <w:szCs w:val="28"/>
        </w:rPr>
      </w:pPr>
    </w:p>
    <w:p w14:paraId="214FB761" w14:textId="77777777" w:rsidR="00982BE5" w:rsidRDefault="00982BE5" w:rsidP="000D4BA0">
      <w:pPr>
        <w:rPr>
          <w:b/>
          <w:bCs/>
          <w:sz w:val="28"/>
          <w:szCs w:val="28"/>
        </w:rPr>
      </w:pPr>
    </w:p>
    <w:p w14:paraId="55EA49A5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4D2D882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6F58C6B" w14:textId="77777777" w:rsidR="00982BE5" w:rsidRDefault="00982BE5" w:rsidP="000D4BA0">
      <w:pPr>
        <w:rPr>
          <w:b/>
          <w:bCs/>
          <w:sz w:val="28"/>
          <w:szCs w:val="28"/>
        </w:rPr>
      </w:pPr>
    </w:p>
    <w:p w14:paraId="7EC40EFD" w14:textId="77777777" w:rsidR="00982BE5" w:rsidRDefault="00982BE5" w:rsidP="000D4BA0">
      <w:pPr>
        <w:rPr>
          <w:b/>
          <w:bCs/>
          <w:sz w:val="28"/>
          <w:szCs w:val="28"/>
        </w:rPr>
      </w:pPr>
    </w:p>
    <w:p w14:paraId="1BA6D403" w14:textId="77777777" w:rsidR="00982BE5" w:rsidRDefault="00982BE5" w:rsidP="000D4BA0">
      <w:pPr>
        <w:rPr>
          <w:b/>
          <w:bCs/>
          <w:sz w:val="28"/>
          <w:szCs w:val="28"/>
        </w:rPr>
      </w:pPr>
    </w:p>
    <w:p w14:paraId="1556456B" w14:textId="77777777" w:rsidR="00982BE5" w:rsidRDefault="00982BE5" w:rsidP="000D4BA0">
      <w:pPr>
        <w:rPr>
          <w:b/>
          <w:bCs/>
          <w:sz w:val="28"/>
          <w:szCs w:val="28"/>
        </w:rPr>
      </w:pPr>
    </w:p>
    <w:p w14:paraId="2B95F7AD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31C65DD" w14:textId="4A77D718" w:rsidR="00982BE5" w:rsidRDefault="00982BE5" w:rsidP="00982B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</w:p>
    <w:p w14:paraId="0F3E95C5" w14:textId="77777777" w:rsidR="00982BE5" w:rsidRPr="00753D5A" w:rsidRDefault="00982BE5" w:rsidP="00982BE5">
      <w:pPr>
        <w:jc w:val="center"/>
        <w:rPr>
          <w:b/>
          <w:bCs/>
          <w:sz w:val="28"/>
          <w:szCs w:val="28"/>
        </w:rPr>
      </w:pPr>
      <w:r w:rsidRPr="000D4BA0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ontract and </w:t>
      </w:r>
      <w:r w:rsidRPr="000D4BA0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upplier </w:t>
      </w:r>
      <w:r w:rsidRPr="000D4BA0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anagement -</w:t>
      </w:r>
      <w:r w:rsidRPr="000D4BA0">
        <w:rPr>
          <w:b/>
          <w:bCs/>
          <w:sz w:val="28"/>
          <w:szCs w:val="28"/>
        </w:rPr>
        <w:t xml:space="preserve"> Key Steps</w:t>
      </w:r>
      <w:r>
        <w:rPr>
          <w:b/>
          <w:bCs/>
          <w:sz w:val="28"/>
          <w:szCs w:val="28"/>
        </w:rPr>
        <w:t xml:space="preserve"> Document</w:t>
      </w:r>
    </w:p>
    <w:p w14:paraId="19308728" w14:textId="0C71B058" w:rsidR="00982BE5" w:rsidRDefault="00982BE5" w:rsidP="00982BE5">
      <w:pPr>
        <w:tabs>
          <w:tab w:val="left" w:pos="3755"/>
        </w:tabs>
        <w:rPr>
          <w:b/>
          <w:bCs/>
          <w:sz w:val="28"/>
          <w:szCs w:val="28"/>
        </w:rPr>
      </w:pPr>
    </w:p>
    <w:p w14:paraId="799C429F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78DC094" w14:textId="77777777" w:rsidR="00982BE5" w:rsidRDefault="00982BE5" w:rsidP="000D4BA0">
      <w:pPr>
        <w:rPr>
          <w:b/>
          <w:bCs/>
          <w:sz w:val="28"/>
          <w:szCs w:val="28"/>
        </w:rPr>
      </w:pPr>
    </w:p>
    <w:p w14:paraId="1D57AE89" w14:textId="77777777" w:rsidR="00982BE5" w:rsidRDefault="00982BE5" w:rsidP="000D4BA0">
      <w:pPr>
        <w:rPr>
          <w:b/>
          <w:bCs/>
          <w:sz w:val="28"/>
          <w:szCs w:val="28"/>
        </w:rPr>
      </w:pPr>
    </w:p>
    <w:p w14:paraId="2E55D3A7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FDBFA76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C3687FA" w14:textId="77777777" w:rsidR="00982BE5" w:rsidRDefault="00982BE5" w:rsidP="000D4BA0">
      <w:pPr>
        <w:rPr>
          <w:b/>
          <w:bCs/>
          <w:sz w:val="28"/>
          <w:szCs w:val="28"/>
        </w:rPr>
      </w:pPr>
    </w:p>
    <w:p w14:paraId="655C6FE4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D333A47" w14:textId="77777777" w:rsidR="00982BE5" w:rsidRDefault="00982BE5" w:rsidP="000D4BA0">
      <w:pPr>
        <w:rPr>
          <w:b/>
          <w:bCs/>
          <w:sz w:val="28"/>
          <w:szCs w:val="28"/>
        </w:rPr>
      </w:pPr>
    </w:p>
    <w:p w14:paraId="5899D2B6" w14:textId="77777777" w:rsidR="00982BE5" w:rsidRDefault="00982BE5" w:rsidP="000D4BA0">
      <w:pPr>
        <w:rPr>
          <w:b/>
          <w:bCs/>
          <w:sz w:val="28"/>
          <w:szCs w:val="28"/>
        </w:rPr>
      </w:pPr>
    </w:p>
    <w:p w14:paraId="24CCC0FE" w14:textId="77777777" w:rsidR="00982BE5" w:rsidRDefault="00982BE5" w:rsidP="000D4BA0">
      <w:pPr>
        <w:rPr>
          <w:b/>
          <w:bCs/>
          <w:sz w:val="28"/>
          <w:szCs w:val="28"/>
        </w:rPr>
      </w:pPr>
    </w:p>
    <w:p w14:paraId="630B12C7" w14:textId="77777777" w:rsidR="00982BE5" w:rsidRDefault="00982BE5" w:rsidP="000D4BA0">
      <w:pPr>
        <w:rPr>
          <w:b/>
          <w:bCs/>
          <w:sz w:val="28"/>
          <w:szCs w:val="28"/>
        </w:rPr>
      </w:pPr>
    </w:p>
    <w:p w14:paraId="781D00CB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CD147D0" w14:textId="77777777" w:rsidR="00982BE5" w:rsidRDefault="00982BE5" w:rsidP="000D4BA0">
      <w:pPr>
        <w:rPr>
          <w:b/>
          <w:bCs/>
          <w:sz w:val="28"/>
          <w:szCs w:val="28"/>
        </w:rPr>
      </w:pPr>
    </w:p>
    <w:p w14:paraId="50513189" w14:textId="77777777" w:rsidR="00982BE5" w:rsidRDefault="00982BE5" w:rsidP="000D4BA0">
      <w:pPr>
        <w:rPr>
          <w:b/>
          <w:bCs/>
          <w:sz w:val="28"/>
          <w:szCs w:val="28"/>
        </w:rPr>
      </w:pPr>
    </w:p>
    <w:p w14:paraId="794F3715" w14:textId="77777777" w:rsidR="00982BE5" w:rsidRDefault="00982BE5" w:rsidP="000D4BA0">
      <w:pPr>
        <w:rPr>
          <w:b/>
          <w:bCs/>
          <w:sz w:val="28"/>
          <w:szCs w:val="28"/>
        </w:rPr>
      </w:pPr>
    </w:p>
    <w:p w14:paraId="1AAE4D9C" w14:textId="77777777" w:rsidR="00982BE5" w:rsidRDefault="00982BE5" w:rsidP="000D4BA0">
      <w:pPr>
        <w:rPr>
          <w:b/>
          <w:bCs/>
          <w:sz w:val="28"/>
          <w:szCs w:val="28"/>
        </w:rPr>
      </w:pPr>
    </w:p>
    <w:p w14:paraId="487DABB6" w14:textId="77777777" w:rsidR="00982BE5" w:rsidRDefault="00982BE5" w:rsidP="000D4BA0">
      <w:pPr>
        <w:rPr>
          <w:b/>
          <w:bCs/>
          <w:sz w:val="28"/>
          <w:szCs w:val="28"/>
        </w:rPr>
      </w:pPr>
    </w:p>
    <w:p w14:paraId="35854073" w14:textId="77777777" w:rsidR="00982BE5" w:rsidRDefault="00982BE5" w:rsidP="000D4BA0">
      <w:pPr>
        <w:rPr>
          <w:b/>
          <w:bCs/>
          <w:sz w:val="28"/>
          <w:szCs w:val="28"/>
        </w:rPr>
      </w:pPr>
    </w:p>
    <w:p w14:paraId="08A5E989" w14:textId="77777777" w:rsidR="00982BE5" w:rsidRDefault="00982BE5" w:rsidP="000D4BA0">
      <w:pPr>
        <w:rPr>
          <w:b/>
          <w:bCs/>
          <w:sz w:val="28"/>
          <w:szCs w:val="28"/>
        </w:rPr>
      </w:pPr>
    </w:p>
    <w:p w14:paraId="3410E937" w14:textId="5B19D24E" w:rsidR="000D4BA0" w:rsidRPr="00753D5A" w:rsidRDefault="000D4BA0" w:rsidP="000D4BA0">
      <w:pPr>
        <w:rPr>
          <w:b/>
          <w:bCs/>
          <w:sz w:val="28"/>
          <w:szCs w:val="28"/>
        </w:rPr>
      </w:pPr>
      <w:r w:rsidRPr="000D4BA0">
        <w:rPr>
          <w:b/>
          <w:bCs/>
          <w:sz w:val="28"/>
          <w:szCs w:val="28"/>
        </w:rPr>
        <w:t>C</w:t>
      </w:r>
      <w:r w:rsidR="00982BE5">
        <w:rPr>
          <w:b/>
          <w:bCs/>
          <w:sz w:val="28"/>
          <w:szCs w:val="28"/>
        </w:rPr>
        <w:t xml:space="preserve">ontract and </w:t>
      </w:r>
      <w:r w:rsidRPr="000D4BA0">
        <w:rPr>
          <w:b/>
          <w:bCs/>
          <w:sz w:val="28"/>
          <w:szCs w:val="28"/>
        </w:rPr>
        <w:t>S</w:t>
      </w:r>
      <w:r w:rsidR="00982BE5">
        <w:rPr>
          <w:b/>
          <w:bCs/>
          <w:sz w:val="28"/>
          <w:szCs w:val="28"/>
        </w:rPr>
        <w:t xml:space="preserve">upplier </w:t>
      </w:r>
      <w:r w:rsidRPr="000D4BA0">
        <w:rPr>
          <w:b/>
          <w:bCs/>
          <w:sz w:val="28"/>
          <w:szCs w:val="28"/>
        </w:rPr>
        <w:t>M</w:t>
      </w:r>
      <w:r w:rsidR="00982BE5">
        <w:rPr>
          <w:b/>
          <w:bCs/>
          <w:sz w:val="28"/>
          <w:szCs w:val="28"/>
        </w:rPr>
        <w:t>anagement -</w:t>
      </w:r>
      <w:r w:rsidRPr="000D4BA0">
        <w:rPr>
          <w:b/>
          <w:bCs/>
          <w:sz w:val="28"/>
          <w:szCs w:val="28"/>
        </w:rPr>
        <w:t xml:space="preserve"> Key Steps</w:t>
      </w:r>
      <w:r w:rsidR="00753D5A">
        <w:rPr>
          <w:b/>
          <w:bCs/>
          <w:sz w:val="28"/>
          <w:szCs w:val="28"/>
        </w:rPr>
        <w:t xml:space="preserve"> Document</w:t>
      </w:r>
    </w:p>
    <w:p w14:paraId="1573DA82" w14:textId="77777777" w:rsidR="000D4BA0" w:rsidRPr="000D4BA0" w:rsidRDefault="000D4BA0" w:rsidP="000D4BA0">
      <w:pPr>
        <w:rPr>
          <w:b/>
          <w:bCs/>
        </w:rPr>
      </w:pPr>
    </w:p>
    <w:p w14:paraId="07CFC3B7" w14:textId="77777777" w:rsidR="000D4BA0" w:rsidRDefault="000D4BA0" w:rsidP="000D4BA0">
      <w:r w:rsidRPr="000D4BA0">
        <w:t>These steps should guide staff through what to expect and what their responsibilities are at each stage. </w:t>
      </w:r>
    </w:p>
    <w:p w14:paraId="46A81C1E" w14:textId="77777777" w:rsidR="000D4BA0" w:rsidRPr="000D4BA0" w:rsidRDefault="000D4BA0" w:rsidP="000D4BA0"/>
    <w:p w14:paraId="48940A10" w14:textId="77777777" w:rsidR="000D4BA0" w:rsidRDefault="000D4BA0" w:rsidP="000D4BA0">
      <w:r w:rsidRPr="000D4BA0">
        <w:t>This should help staff avoid missteps such as unapproved extensions or inadequate monitoring. </w:t>
      </w:r>
    </w:p>
    <w:p w14:paraId="7E2778B7" w14:textId="77777777" w:rsidR="000D4BA0" w:rsidRPr="000D4BA0" w:rsidRDefault="000D4BA0" w:rsidP="000D4BA0"/>
    <w:p w14:paraId="7252E5B2" w14:textId="1E70755D" w:rsidR="000D4BA0" w:rsidRDefault="000D4BA0" w:rsidP="000D4BA0">
      <w:r>
        <w:t xml:space="preserve">Please note that the activities listed below are comprehensive and </w:t>
      </w:r>
      <w:r w:rsidR="1D78480D">
        <w:t xml:space="preserve">for most contracts </w:t>
      </w:r>
      <w:r>
        <w:t>do not all have to be applied</w:t>
      </w:r>
      <w:r w:rsidR="5D80E164">
        <w:t>.</w:t>
      </w:r>
      <w:r>
        <w:t xml:space="preserve"> Contract managers should make sure that the </w:t>
      </w:r>
      <w:proofErr w:type="spellStart"/>
      <w:r>
        <w:t>CSM</w:t>
      </w:r>
      <w:proofErr w:type="spellEnd"/>
      <w:r>
        <w:t xml:space="preserve"> activities used are </w:t>
      </w:r>
      <w:r w:rsidRPr="36C6C83A">
        <w:rPr>
          <w:b/>
          <w:bCs/>
        </w:rPr>
        <w:t>proportionate</w:t>
      </w:r>
      <w:r>
        <w:t> and </w:t>
      </w:r>
      <w:r w:rsidRPr="36C6C83A">
        <w:rPr>
          <w:b/>
          <w:bCs/>
        </w:rPr>
        <w:t>relevant</w:t>
      </w:r>
      <w:r>
        <w:t> to the contract that they are managing.  </w:t>
      </w:r>
    </w:p>
    <w:p w14:paraId="6433BA06" w14:textId="77777777" w:rsidR="00753D5A" w:rsidRPr="000D4BA0" w:rsidRDefault="00753D5A" w:rsidP="000D4BA0"/>
    <w:p w14:paraId="1910DDD1" w14:textId="77777777" w:rsidR="00027C27" w:rsidRDefault="00027C27" w:rsidP="00B561C0"/>
    <w:p w14:paraId="333C8AD6" w14:textId="0600927D" w:rsidR="000D4BA0" w:rsidRPr="000D4BA0" w:rsidRDefault="000D4BA0" w:rsidP="000D4BA0">
      <w:pPr>
        <w:pStyle w:val="ListParagraph"/>
        <w:numPr>
          <w:ilvl w:val="0"/>
          <w:numId w:val="7"/>
        </w:numPr>
        <w:rPr>
          <w:b/>
          <w:bCs/>
        </w:rPr>
      </w:pPr>
      <w:r w:rsidRPr="000D4BA0">
        <w:rPr>
          <w:b/>
          <w:bCs/>
        </w:rPr>
        <w:t>Before the Contract Starts</w:t>
      </w:r>
    </w:p>
    <w:p w14:paraId="35E20AAB" w14:textId="77777777" w:rsidR="000D4BA0" w:rsidRDefault="000D4BA0" w:rsidP="000D4BA0">
      <w:pPr>
        <w:pStyle w:val="ListParagraph"/>
      </w:pPr>
    </w:p>
    <w:tbl>
      <w:tblPr>
        <w:tblW w:w="1020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1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521"/>
      </w:tblGrid>
      <w:tr w:rsidR="000D4BA0" w:rsidRPr="000D4BA0" w14:paraId="724942C0" w14:textId="77777777" w:rsidTr="36C6C83A"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BDD"/>
            <w:hideMark/>
          </w:tcPr>
          <w:p w14:paraId="7E5989B5" w14:textId="18FAFA09" w:rsidR="000D4BA0" w:rsidRPr="000D4BA0" w:rsidRDefault="000D4BA0" w:rsidP="000D4BA0">
            <w:pPr>
              <w:jc w:val="center"/>
              <w:outlineLvl w:val="3"/>
              <w:rPr>
                <w:rFonts w:cs="Arial"/>
                <w:b/>
                <w:bCs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Suggested</w:t>
            </w:r>
            <w:r>
              <w:rPr>
                <w:rFonts w:cs="Arial"/>
                <w:b/>
                <w:bCs/>
                <w:color w:val="212529"/>
                <w:szCs w:val="24"/>
                <w:lang w:eastAsia="en-GB"/>
              </w:rPr>
              <w:t xml:space="preserve"> </w:t>
            </w: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Responsibilities/Considerations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BDD"/>
            <w:hideMark/>
          </w:tcPr>
          <w:p w14:paraId="5B65C375" w14:textId="77777777" w:rsidR="000D4BA0" w:rsidRDefault="000D4BA0" w:rsidP="00753D5A">
            <w:pPr>
              <w:ind w:right="127"/>
              <w:jc w:val="center"/>
              <w:outlineLvl w:val="3"/>
              <w:rPr>
                <w:rFonts w:cs="Arial"/>
                <w:b/>
                <w:bCs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Why it is Important</w:t>
            </w:r>
          </w:p>
          <w:p w14:paraId="599DCA5A" w14:textId="77777777" w:rsidR="00753D5A" w:rsidRDefault="00753D5A" w:rsidP="00753D5A">
            <w:pPr>
              <w:jc w:val="center"/>
              <w:rPr>
                <w:rFonts w:cs="Arial"/>
                <w:b/>
                <w:bCs/>
                <w:color w:val="212529"/>
                <w:szCs w:val="24"/>
                <w:lang w:eastAsia="en-GB"/>
              </w:rPr>
            </w:pPr>
          </w:p>
          <w:p w14:paraId="4C04E16F" w14:textId="77777777" w:rsidR="00753D5A" w:rsidRPr="000D4BA0" w:rsidRDefault="00753D5A" w:rsidP="00753D5A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0D4BA0" w:rsidRPr="000D4BA0" w14:paraId="57BC706F" w14:textId="77777777" w:rsidTr="36C6C83A"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1F2"/>
            <w:hideMark/>
          </w:tcPr>
          <w:p w14:paraId="7F92C15F" w14:textId="77777777" w:rsidR="000D4BA0" w:rsidRPr="000D4BA0" w:rsidRDefault="000D4BA0" w:rsidP="000D4BA0">
            <w:pPr>
              <w:numPr>
                <w:ilvl w:val="0"/>
                <w:numId w:val="8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66C3BDC3">
              <w:rPr>
                <w:rFonts w:cs="Arial"/>
                <w:color w:val="212529"/>
                <w:lang w:eastAsia="en-GB"/>
              </w:rPr>
              <w:t>understanding requirement specification/contract scope and deliverables</w:t>
            </w:r>
          </w:p>
          <w:p w14:paraId="73222E6C" w14:textId="3939BC53" w:rsidR="66C3BDC3" w:rsidRDefault="66C3BDC3" w:rsidP="66C3BDC3">
            <w:pPr>
              <w:spacing w:beforeAutospacing="1" w:afterAutospacing="1"/>
              <w:ind w:left="720"/>
              <w:rPr>
                <w:rFonts w:cs="Arial"/>
                <w:color w:val="212529"/>
                <w:lang w:eastAsia="en-GB"/>
              </w:rPr>
            </w:pPr>
          </w:p>
          <w:p w14:paraId="63A60A3D" w14:textId="64625192" w:rsidR="66C3BDC3" w:rsidRDefault="66C3BDC3" w:rsidP="66C3BDC3">
            <w:pPr>
              <w:spacing w:beforeAutospacing="1" w:afterAutospacing="1"/>
              <w:ind w:left="720"/>
              <w:rPr>
                <w:rFonts w:cs="Arial"/>
                <w:color w:val="212529"/>
                <w:lang w:eastAsia="en-GB"/>
              </w:rPr>
            </w:pPr>
          </w:p>
          <w:p w14:paraId="3C116301" w14:textId="77777777" w:rsidR="000D4BA0" w:rsidRPr="000D4BA0" w:rsidRDefault="000D4BA0" w:rsidP="000D4BA0">
            <w:pPr>
              <w:numPr>
                <w:ilvl w:val="0"/>
                <w:numId w:val="8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66C3BDC3">
              <w:rPr>
                <w:rFonts w:cs="Arial"/>
                <w:color w:val="212529"/>
                <w:lang w:eastAsia="en-GB"/>
              </w:rPr>
              <w:t>confirm roles and responsibilities</w:t>
            </w:r>
          </w:p>
          <w:p w14:paraId="615D7AF5" w14:textId="2B76D48E" w:rsidR="66C3BDC3" w:rsidRDefault="66C3BDC3" w:rsidP="66C3BDC3">
            <w:pPr>
              <w:spacing w:beforeAutospacing="1" w:afterAutospacing="1"/>
              <w:rPr>
                <w:rFonts w:cs="Arial"/>
                <w:color w:val="212529"/>
                <w:lang w:eastAsia="en-GB"/>
              </w:rPr>
            </w:pPr>
          </w:p>
          <w:p w14:paraId="39687A9C" w14:textId="0E8F1507" w:rsidR="66C3BDC3" w:rsidRDefault="66C3BDC3" w:rsidP="66C3BDC3">
            <w:pPr>
              <w:spacing w:beforeAutospacing="1" w:afterAutospacing="1"/>
              <w:rPr>
                <w:rFonts w:cs="Arial"/>
                <w:color w:val="212529"/>
                <w:lang w:eastAsia="en-GB"/>
              </w:rPr>
            </w:pPr>
          </w:p>
          <w:p w14:paraId="7B43C3AA" w14:textId="7539028E" w:rsidR="66C3BDC3" w:rsidRDefault="66C3BDC3" w:rsidP="66C3BDC3">
            <w:pPr>
              <w:spacing w:beforeAutospacing="1" w:afterAutospacing="1"/>
              <w:rPr>
                <w:rFonts w:cs="Arial"/>
                <w:color w:val="212529"/>
                <w:lang w:eastAsia="en-GB"/>
              </w:rPr>
            </w:pPr>
          </w:p>
          <w:p w14:paraId="02100332" w14:textId="77777777" w:rsidR="000D4BA0" w:rsidRPr="000D4BA0" w:rsidRDefault="000D4BA0" w:rsidP="000D4BA0">
            <w:pPr>
              <w:numPr>
                <w:ilvl w:val="0"/>
                <w:numId w:val="8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 xml:space="preserve">review contract documents, </w:t>
            </w:r>
            <w:proofErr w:type="spellStart"/>
            <w:r w:rsidRPr="000D4BA0">
              <w:rPr>
                <w:rFonts w:cs="Arial"/>
                <w:color w:val="212529"/>
                <w:szCs w:val="24"/>
                <w:lang w:eastAsia="en-GB"/>
              </w:rPr>
              <w:t>KPIs</w:t>
            </w:r>
            <w:proofErr w:type="spellEnd"/>
            <w:r w:rsidRPr="000D4BA0">
              <w:rPr>
                <w:rFonts w:cs="Arial"/>
                <w:color w:val="212529"/>
                <w:szCs w:val="24"/>
                <w:lang w:eastAsia="en-GB"/>
              </w:rPr>
              <w:t xml:space="preserve"> and reporting requirements</w:t>
            </w:r>
          </w:p>
          <w:p w14:paraId="3B5742DF" w14:textId="77777777" w:rsidR="000D4BA0" w:rsidRPr="000D4BA0" w:rsidRDefault="000D4BA0" w:rsidP="66C3BDC3">
            <w:pPr>
              <w:numPr>
                <w:ilvl w:val="0"/>
                <w:numId w:val="8"/>
              </w:numPr>
              <w:spacing w:beforeAutospacing="1" w:afterAutospacing="1"/>
              <w:rPr>
                <w:rFonts w:cs="Arial"/>
                <w:color w:val="212529"/>
                <w:lang w:eastAsia="en-GB"/>
              </w:rPr>
            </w:pPr>
            <w:r w:rsidRPr="36C6C83A">
              <w:rPr>
                <w:rFonts w:cs="Arial"/>
                <w:color w:val="212529"/>
                <w:lang w:eastAsia="en-GB"/>
              </w:rPr>
              <w:t>involvement of procurement</w:t>
            </w:r>
          </w:p>
          <w:p w14:paraId="1DAD3736" w14:textId="77777777" w:rsidR="000D4BA0" w:rsidRPr="000D4BA0" w:rsidRDefault="000D4BA0" w:rsidP="000D4BA0">
            <w:pPr>
              <w:numPr>
                <w:ilvl w:val="0"/>
                <w:numId w:val="8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risk assessment</w:t>
            </w:r>
          </w:p>
          <w:p w14:paraId="3DA4A469" w14:textId="59264F4E" w:rsidR="000D4BA0" w:rsidRPr="000D4BA0" w:rsidRDefault="000D4BA0" w:rsidP="66C3BDC3">
            <w:pPr>
              <w:numPr>
                <w:ilvl w:val="0"/>
                <w:numId w:val="8"/>
              </w:numPr>
              <w:rPr>
                <w:rFonts w:cs="Arial"/>
                <w:color w:val="212529"/>
                <w:lang w:eastAsia="en-GB"/>
              </w:rPr>
            </w:pPr>
            <w:r w:rsidRPr="66C3BDC3">
              <w:rPr>
                <w:rFonts w:cs="Arial"/>
                <w:color w:val="212529"/>
                <w:lang w:eastAsia="en-GB"/>
              </w:rPr>
              <w:t>financial checks</w:t>
            </w:r>
          </w:p>
          <w:p w14:paraId="6D3736C7" w14:textId="6316EA94" w:rsidR="000D4BA0" w:rsidRPr="000D4BA0" w:rsidRDefault="000D4BA0" w:rsidP="66C3BDC3">
            <w:pPr>
              <w:rPr>
                <w:rFonts w:cs="Arial"/>
                <w:color w:val="212529"/>
                <w:lang w:eastAsia="en-GB"/>
              </w:rPr>
            </w:pPr>
          </w:p>
          <w:p w14:paraId="192BE710" w14:textId="443E67EF" w:rsidR="000D4BA0" w:rsidRPr="000D4BA0" w:rsidRDefault="000D4BA0" w:rsidP="66C3BDC3">
            <w:pPr>
              <w:rPr>
                <w:rFonts w:cs="Arial"/>
                <w:color w:val="212529"/>
                <w:lang w:eastAsia="en-GB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1F2"/>
            <w:hideMark/>
          </w:tcPr>
          <w:p w14:paraId="444C1F7D" w14:textId="77777777" w:rsidR="000D4BA0" w:rsidRPr="000D4BA0" w:rsidRDefault="000D4BA0" w:rsidP="000D4BA0">
            <w:pPr>
              <w:numPr>
                <w:ilvl w:val="0"/>
                <w:numId w:val="9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it’s the bridge between </w:t>
            </w:r>
            <w:r w:rsidRPr="000D4BA0">
              <w:rPr>
                <w:rFonts w:cs="Arial"/>
                <w:i/>
                <w:iCs/>
                <w:color w:val="212529"/>
                <w:szCs w:val="24"/>
                <w:lang w:eastAsia="en-GB"/>
              </w:rPr>
              <w:t>procurement</w:t>
            </w:r>
            <w:r w:rsidRPr="000D4BA0">
              <w:rPr>
                <w:rFonts w:cs="Arial"/>
                <w:color w:val="212529"/>
                <w:szCs w:val="24"/>
                <w:lang w:eastAsia="en-GB"/>
              </w:rPr>
              <w:t> and </w:t>
            </w:r>
            <w:r w:rsidRPr="000D4BA0">
              <w:rPr>
                <w:rFonts w:cs="Arial"/>
                <w:i/>
                <w:iCs/>
                <w:color w:val="212529"/>
                <w:szCs w:val="24"/>
                <w:lang w:eastAsia="en-GB"/>
              </w:rPr>
              <w:t>delivery</w:t>
            </w:r>
          </w:p>
          <w:p w14:paraId="3760CD9C" w14:textId="77777777" w:rsidR="000D4BA0" w:rsidRPr="000D4BA0" w:rsidRDefault="000D4BA0" w:rsidP="000D4BA0">
            <w:pPr>
              <w:numPr>
                <w:ilvl w:val="0"/>
                <w:numId w:val="9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66C3BDC3">
              <w:rPr>
                <w:rFonts w:cs="Arial"/>
                <w:color w:val="212529"/>
                <w:lang w:eastAsia="en-GB"/>
              </w:rPr>
              <w:t>ensures both buyer and supplier understand what’s been agreed, what needs to happen next, and how performance will be measured</w:t>
            </w:r>
          </w:p>
          <w:p w14:paraId="5917F71C" w14:textId="1ACC853F" w:rsidR="66C3BDC3" w:rsidRDefault="66C3BDC3" w:rsidP="66C3BDC3">
            <w:pPr>
              <w:spacing w:beforeAutospacing="1" w:afterAutospacing="1"/>
              <w:ind w:left="720"/>
              <w:rPr>
                <w:rFonts w:cs="Arial"/>
                <w:color w:val="212529"/>
                <w:lang w:eastAsia="en-GB"/>
              </w:rPr>
            </w:pPr>
          </w:p>
          <w:p w14:paraId="17BCB34A" w14:textId="77777777" w:rsidR="000D4BA0" w:rsidRPr="000D4BA0" w:rsidRDefault="000D4BA0" w:rsidP="000D4BA0">
            <w:pPr>
              <w:numPr>
                <w:ilvl w:val="0"/>
                <w:numId w:val="9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prevents confusion or misalignment once the contract goes live</w:t>
            </w:r>
          </w:p>
          <w:p w14:paraId="3D36DAA6" w14:textId="77777777" w:rsidR="000D4BA0" w:rsidRPr="000D4BA0" w:rsidRDefault="000D4BA0" w:rsidP="000D4BA0">
            <w:pPr>
              <w:numPr>
                <w:ilvl w:val="0"/>
                <w:numId w:val="9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66C3BDC3">
              <w:rPr>
                <w:rFonts w:cs="Arial"/>
                <w:color w:val="212529"/>
                <w:lang w:eastAsia="en-GB"/>
              </w:rPr>
              <w:t>makes sure the supplier is ready to deliver as promised from day one</w:t>
            </w:r>
          </w:p>
          <w:p w14:paraId="36BC9C33" w14:textId="2BA25D7D" w:rsidR="66C3BDC3" w:rsidRDefault="66C3BDC3" w:rsidP="66C3BDC3">
            <w:pPr>
              <w:spacing w:beforeAutospacing="1" w:afterAutospacing="1"/>
              <w:ind w:left="720"/>
              <w:rPr>
                <w:rFonts w:cs="Arial"/>
                <w:color w:val="212529"/>
                <w:lang w:eastAsia="en-GB"/>
              </w:rPr>
            </w:pPr>
          </w:p>
          <w:p w14:paraId="7C6EF80E" w14:textId="77777777" w:rsidR="000D4BA0" w:rsidRPr="000D4BA0" w:rsidRDefault="000D4BA0" w:rsidP="000D4BA0">
            <w:pPr>
              <w:numPr>
                <w:ilvl w:val="0"/>
                <w:numId w:val="9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confirms pricing structures, invoicing processes, and performance measures are clearly understood</w:t>
            </w:r>
          </w:p>
          <w:p w14:paraId="482F248D" w14:textId="77777777" w:rsidR="000D4BA0" w:rsidRPr="000D4BA0" w:rsidRDefault="000D4BA0" w:rsidP="000D4BA0">
            <w:pPr>
              <w:numPr>
                <w:ilvl w:val="0"/>
                <w:numId w:val="9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avoids costly misunderstandings, disputes, or delays later in the contract</w:t>
            </w:r>
          </w:p>
          <w:p w14:paraId="539A0B9D" w14:textId="77777777" w:rsidR="000D4BA0" w:rsidRPr="000D4BA0" w:rsidRDefault="000D4BA0" w:rsidP="000D4BA0">
            <w:pPr>
              <w:numPr>
                <w:ilvl w:val="0"/>
                <w:numId w:val="9"/>
              </w:numPr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reduces operational disruption when switching from an outgoing supplier or starting a new service</w:t>
            </w:r>
          </w:p>
        </w:tc>
      </w:tr>
    </w:tbl>
    <w:p w14:paraId="501663D4" w14:textId="77777777" w:rsidR="000D4BA0" w:rsidRDefault="000D4BA0" w:rsidP="000D4BA0"/>
    <w:p w14:paraId="1595956B" w14:textId="77777777" w:rsidR="000D4BA0" w:rsidRDefault="000D4BA0" w:rsidP="000D4BA0"/>
    <w:p w14:paraId="44E29122" w14:textId="1814CF60" w:rsidR="000D4BA0" w:rsidRPr="000D4BA0" w:rsidRDefault="000D4BA0" w:rsidP="000D4BA0">
      <w:pPr>
        <w:pStyle w:val="ListParagraph"/>
        <w:numPr>
          <w:ilvl w:val="0"/>
          <w:numId w:val="7"/>
        </w:numPr>
        <w:rPr>
          <w:b/>
          <w:bCs/>
        </w:rPr>
      </w:pPr>
      <w:r w:rsidRPr="000D4BA0">
        <w:rPr>
          <w:b/>
          <w:bCs/>
        </w:rPr>
        <w:t>Contract Award / Handover</w:t>
      </w:r>
    </w:p>
    <w:p w14:paraId="5042F22E" w14:textId="77777777" w:rsidR="000D4BA0" w:rsidRDefault="000D4BA0" w:rsidP="000D4BA0"/>
    <w:tbl>
      <w:tblPr>
        <w:tblW w:w="1020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1F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521"/>
      </w:tblGrid>
      <w:tr w:rsidR="000D4BA0" w:rsidRPr="000D4BA0" w14:paraId="0388208B" w14:textId="77777777" w:rsidTr="00753D5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BDD"/>
            <w:hideMark/>
          </w:tcPr>
          <w:p w14:paraId="59B67285" w14:textId="54F5B67F" w:rsidR="000D4BA0" w:rsidRPr="000D4BA0" w:rsidRDefault="000D4BA0" w:rsidP="000D4BA0">
            <w:pPr>
              <w:spacing w:beforeAutospacing="1" w:afterAutospacing="1"/>
              <w:jc w:val="center"/>
              <w:outlineLvl w:val="3"/>
              <w:rPr>
                <w:rFonts w:cs="Arial"/>
                <w:b/>
                <w:bCs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Suggested </w:t>
            </w:r>
            <w:r>
              <w:rPr>
                <w:rFonts w:cs="Arial"/>
                <w:b/>
                <w:bCs/>
                <w:color w:val="212529"/>
                <w:szCs w:val="24"/>
                <w:lang w:eastAsia="en-GB"/>
              </w:rPr>
              <w:t xml:space="preserve"> </w:t>
            </w: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Responsibilities/Considerations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BDD"/>
            <w:hideMark/>
          </w:tcPr>
          <w:p w14:paraId="47542E7C" w14:textId="77777777" w:rsidR="000D4BA0" w:rsidRPr="000D4BA0" w:rsidRDefault="000D4BA0" w:rsidP="000D4BA0">
            <w:pPr>
              <w:jc w:val="center"/>
              <w:outlineLvl w:val="3"/>
              <w:rPr>
                <w:rFonts w:cs="Arial"/>
                <w:b/>
                <w:bCs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Why it is Important</w:t>
            </w:r>
          </w:p>
        </w:tc>
      </w:tr>
      <w:tr w:rsidR="000D4BA0" w:rsidRPr="000D4BA0" w14:paraId="0C7A46FC" w14:textId="77777777" w:rsidTr="00753D5A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1F2"/>
            <w:hideMark/>
          </w:tcPr>
          <w:p w14:paraId="185531A4" w14:textId="77777777" w:rsidR="000D4BA0" w:rsidRPr="000D4BA0" w:rsidRDefault="000D4BA0" w:rsidP="000D4BA0">
            <w:pPr>
              <w:numPr>
                <w:ilvl w:val="0"/>
                <w:numId w:val="10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ensuring documentation is correct and accessible (contract, terms, annexes)</w:t>
            </w:r>
          </w:p>
          <w:p w14:paraId="175E1C73" w14:textId="77777777" w:rsidR="000D4BA0" w:rsidRPr="000D4BA0" w:rsidRDefault="000D4BA0" w:rsidP="000D4BA0">
            <w:pPr>
              <w:numPr>
                <w:ilvl w:val="0"/>
                <w:numId w:val="10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contract handover—who does what – complete a contract handover document (a template can be found at the bottom of the page for you to use)</w:t>
            </w:r>
          </w:p>
          <w:p w14:paraId="10762047" w14:textId="77777777" w:rsidR="000D4BA0" w:rsidRPr="000D4BA0" w:rsidRDefault="000D4BA0" w:rsidP="000D4BA0">
            <w:pPr>
              <w:numPr>
                <w:ilvl w:val="0"/>
                <w:numId w:val="10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ensure contract documentation is accessible.</w:t>
            </w:r>
          </w:p>
          <w:p w14:paraId="1EC0F59F" w14:textId="77777777" w:rsidR="000D4BA0" w:rsidRPr="000D4BA0" w:rsidRDefault="000D4BA0" w:rsidP="000D4BA0">
            <w:pPr>
              <w:numPr>
                <w:ilvl w:val="0"/>
                <w:numId w:val="10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complete handover checklist (a checklist document can be found at the bottom of the page for you to use).</w:t>
            </w:r>
          </w:p>
          <w:p w14:paraId="6B9BA695" w14:textId="77777777" w:rsidR="000D4BA0" w:rsidRPr="000D4BA0" w:rsidRDefault="000D4BA0" w:rsidP="000D4BA0">
            <w:pPr>
              <w:numPr>
                <w:ilvl w:val="0"/>
                <w:numId w:val="10"/>
              </w:numPr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once the handover is complete, responsibility for day-to-day performance management sits with the contract manager, with procurement available for advice and escalation.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1F2"/>
            <w:hideMark/>
          </w:tcPr>
          <w:p w14:paraId="4D528974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avoids gaps in knowledge or responsibility</w:t>
            </w:r>
          </w:p>
          <w:p w14:paraId="7270138F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transfers all key documentation, risks, decisions, and supplier commitments to the contract manager</w:t>
            </w:r>
          </w:p>
          <w:p w14:paraId="50AB4EC8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makes sure everyone understands the contract’s intent, scope, and deliverables before work starts</w:t>
            </w:r>
          </w:p>
          <w:p w14:paraId="56FA35FB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establishes who will manage, monitor, and approve key activities</w:t>
            </w:r>
          </w:p>
          <w:p w14:paraId="57F5CA87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confirms reporting, meeting structures, and escalation routes</w:t>
            </w:r>
          </w:p>
          <w:p w14:paraId="0B678FE9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 xml:space="preserve">ensures the right oversight mechanisms are in place from day one (e.g., performance reviews, </w:t>
            </w:r>
            <w:proofErr w:type="spellStart"/>
            <w:r w:rsidRPr="000D4BA0">
              <w:rPr>
                <w:rFonts w:cs="Arial"/>
                <w:color w:val="212529"/>
                <w:szCs w:val="24"/>
                <w:lang w:eastAsia="en-GB"/>
              </w:rPr>
              <w:t>KPI</w:t>
            </w:r>
            <w:proofErr w:type="spellEnd"/>
            <w:r w:rsidRPr="000D4BA0">
              <w:rPr>
                <w:rFonts w:cs="Arial"/>
                <w:color w:val="212529"/>
                <w:szCs w:val="24"/>
                <w:lang w:eastAsia="en-GB"/>
              </w:rPr>
              <w:t xml:space="preserve"> tracking)</w:t>
            </w:r>
          </w:p>
          <w:p w14:paraId="1F08A295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sets up systems for invoicing, reporting, risk logs, and performance data</w:t>
            </w:r>
          </w:p>
          <w:p w14:paraId="2951E5CD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confirms all insurances, financial checks, and onboarding requirements are complete</w:t>
            </w:r>
          </w:p>
          <w:p w14:paraId="45E9C1BD" w14:textId="77777777" w:rsidR="000D4BA0" w:rsidRPr="000D4BA0" w:rsidRDefault="000D4BA0" w:rsidP="000D4BA0">
            <w:pPr>
              <w:numPr>
                <w:ilvl w:val="0"/>
                <w:numId w:val="11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makes sure the contract is stored in the right system and accessible to relevant teams</w:t>
            </w:r>
          </w:p>
          <w:p w14:paraId="33BA4874" w14:textId="77777777" w:rsidR="000D4BA0" w:rsidRPr="000D4BA0" w:rsidRDefault="000D4BA0" w:rsidP="000D4BA0">
            <w:pPr>
              <w:numPr>
                <w:ilvl w:val="0"/>
                <w:numId w:val="11"/>
              </w:numPr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reduces the likelihood of early-stage delivery problems or compliance failures</w:t>
            </w:r>
          </w:p>
        </w:tc>
      </w:tr>
    </w:tbl>
    <w:p w14:paraId="59278541" w14:textId="77777777" w:rsidR="000D4BA0" w:rsidRDefault="000D4BA0" w:rsidP="000D4BA0"/>
    <w:p w14:paraId="57EAC732" w14:textId="7BF68F7D" w:rsidR="000D4BA0" w:rsidRDefault="000D4BA0" w:rsidP="000D4BA0">
      <w:r w:rsidRPr="000D4BA0">
        <w:t>A </w:t>
      </w:r>
      <w:proofErr w:type="spellStart"/>
      <w:r w:rsidRPr="000D4BA0">
        <w:rPr>
          <w:b/>
          <w:bCs/>
        </w:rPr>
        <w:t>CSM</w:t>
      </w:r>
      <w:proofErr w:type="spellEnd"/>
      <w:r w:rsidRPr="000D4BA0">
        <w:rPr>
          <w:b/>
          <w:bCs/>
        </w:rPr>
        <w:t xml:space="preserve"> Handover document</w:t>
      </w:r>
      <w:r w:rsidRPr="000D4BA0">
        <w:t> and a </w:t>
      </w:r>
      <w:proofErr w:type="spellStart"/>
      <w:r w:rsidRPr="000D4BA0">
        <w:rPr>
          <w:b/>
          <w:bCs/>
        </w:rPr>
        <w:t>CSM</w:t>
      </w:r>
      <w:proofErr w:type="spellEnd"/>
      <w:r w:rsidRPr="000D4BA0">
        <w:rPr>
          <w:b/>
          <w:bCs/>
        </w:rPr>
        <w:t xml:space="preserve"> Handover Checklist</w:t>
      </w:r>
      <w:r w:rsidRPr="000D4BA0">
        <w:t xml:space="preserve"> are available for you to use, these can be found at the bottom </w:t>
      </w:r>
      <w:r>
        <w:t xml:space="preserve">of the Route 1 </w:t>
      </w:r>
      <w:proofErr w:type="spellStart"/>
      <w:r>
        <w:t>CSM</w:t>
      </w:r>
      <w:proofErr w:type="spellEnd"/>
      <w:r>
        <w:t xml:space="preserve"> Procurement Journey page.</w:t>
      </w:r>
    </w:p>
    <w:p w14:paraId="2E398A2E" w14:textId="77777777" w:rsidR="000D4BA0" w:rsidRDefault="000D4BA0" w:rsidP="000D4BA0"/>
    <w:p w14:paraId="6776A9A6" w14:textId="77777777" w:rsidR="000D4BA0" w:rsidRDefault="000D4BA0" w:rsidP="000D4BA0"/>
    <w:p w14:paraId="00441541" w14:textId="1574F47A" w:rsidR="000D4BA0" w:rsidRPr="000D4BA0" w:rsidRDefault="000D4BA0" w:rsidP="000D4BA0">
      <w:pPr>
        <w:pStyle w:val="ListParagraph"/>
        <w:numPr>
          <w:ilvl w:val="0"/>
          <w:numId w:val="7"/>
        </w:numPr>
        <w:rPr>
          <w:b/>
          <w:bCs/>
        </w:rPr>
      </w:pPr>
      <w:r w:rsidRPr="000D4BA0">
        <w:rPr>
          <w:b/>
          <w:bCs/>
        </w:rPr>
        <w:t>Monitoring and Reporting</w:t>
      </w:r>
    </w:p>
    <w:p w14:paraId="5B0CCF2E" w14:textId="77777777" w:rsidR="000D4BA0" w:rsidRDefault="000D4BA0" w:rsidP="000D4BA0"/>
    <w:tbl>
      <w:tblPr>
        <w:tblW w:w="1020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1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521"/>
      </w:tblGrid>
      <w:tr w:rsidR="000D4BA0" w:rsidRPr="000D4BA0" w14:paraId="5FB45AB0" w14:textId="77777777" w:rsidTr="36C6C83A"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BDD"/>
            <w:hideMark/>
          </w:tcPr>
          <w:p w14:paraId="7FEAA5BD" w14:textId="1969D6BB" w:rsidR="000D4BA0" w:rsidRPr="000D4BA0" w:rsidRDefault="000D4BA0" w:rsidP="000D4BA0">
            <w:pPr>
              <w:jc w:val="center"/>
              <w:outlineLvl w:val="3"/>
              <w:rPr>
                <w:rFonts w:cs="Arial"/>
                <w:b/>
                <w:bCs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Suggested Responsibilities/Considerations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BDD"/>
            <w:hideMark/>
          </w:tcPr>
          <w:p w14:paraId="67E53879" w14:textId="77777777" w:rsidR="000D4BA0" w:rsidRPr="000D4BA0" w:rsidRDefault="000D4BA0" w:rsidP="66C3BDC3">
            <w:pPr>
              <w:jc w:val="center"/>
              <w:outlineLvl w:val="3"/>
              <w:rPr>
                <w:rFonts w:cs="Arial"/>
                <w:b/>
                <w:bCs/>
                <w:color w:val="212529"/>
                <w:lang w:eastAsia="en-GB"/>
              </w:rPr>
            </w:pPr>
            <w:r w:rsidRPr="36C6C83A">
              <w:rPr>
                <w:rFonts w:cs="Arial"/>
                <w:b/>
                <w:bCs/>
                <w:color w:val="212529"/>
                <w:lang w:eastAsia="en-GB"/>
              </w:rPr>
              <w:t>Why it is Important </w:t>
            </w:r>
          </w:p>
        </w:tc>
      </w:tr>
      <w:tr w:rsidR="000D4BA0" w:rsidRPr="000D4BA0" w14:paraId="12D4D7B0" w14:textId="77777777" w:rsidTr="36C6C83A"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1F2"/>
            <w:hideMark/>
          </w:tcPr>
          <w:p w14:paraId="2507FEE3" w14:textId="77777777" w:rsidR="000D4BA0" w:rsidRPr="000D4BA0" w:rsidRDefault="000D4BA0" w:rsidP="000D4BA0">
            <w:pPr>
              <w:numPr>
                <w:ilvl w:val="0"/>
                <w:numId w:val="12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for low-risk contracts</w:t>
            </w:r>
            <w:r w:rsidRPr="000D4BA0">
              <w:rPr>
                <w:rFonts w:cs="Arial"/>
                <w:color w:val="212529"/>
                <w:szCs w:val="24"/>
                <w:lang w:eastAsia="en-GB"/>
              </w:rPr>
              <w:t>, monitoring may simply be occasional check-ins and good recording-keeping. Before continuing, consider how much management your contract needs.</w:t>
            </w:r>
          </w:p>
          <w:p w14:paraId="3ECA01FD" w14:textId="77777777" w:rsidR="000D4BA0" w:rsidRPr="000D4BA0" w:rsidRDefault="000D4BA0" w:rsidP="000D4BA0">
            <w:pPr>
              <w:numPr>
                <w:ilvl w:val="0"/>
                <w:numId w:val="12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schedule regular performance meetings (agree frequency of reporting – e.g. monthly, quarterly etc.)</w:t>
            </w:r>
          </w:p>
          <w:p w14:paraId="66BB113D" w14:textId="77777777" w:rsidR="000D4BA0" w:rsidRPr="000D4BA0" w:rsidRDefault="000D4BA0" w:rsidP="000D4BA0">
            <w:pPr>
              <w:numPr>
                <w:ilvl w:val="0"/>
                <w:numId w:val="12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lastRenderedPageBreak/>
              <w:t>what performance data should be tracked (cost, time, quality, supplier risk etc).</w:t>
            </w:r>
          </w:p>
          <w:p w14:paraId="31913232" w14:textId="77777777" w:rsidR="000D4BA0" w:rsidRPr="000D4BA0" w:rsidRDefault="000D4BA0" w:rsidP="000D4BA0">
            <w:pPr>
              <w:numPr>
                <w:ilvl w:val="0"/>
                <w:numId w:val="12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 xml:space="preserve">track </w:t>
            </w:r>
            <w:proofErr w:type="spellStart"/>
            <w:r w:rsidRPr="000D4BA0">
              <w:rPr>
                <w:rFonts w:cs="Arial"/>
                <w:color w:val="212529"/>
                <w:szCs w:val="24"/>
                <w:lang w:eastAsia="en-GB"/>
              </w:rPr>
              <w:t>KPIs</w:t>
            </w:r>
            <w:proofErr w:type="spellEnd"/>
            <w:r w:rsidRPr="000D4BA0">
              <w:rPr>
                <w:rFonts w:cs="Arial"/>
                <w:color w:val="212529"/>
                <w:szCs w:val="24"/>
                <w:lang w:eastAsia="en-GB"/>
              </w:rPr>
              <w:t>, SLAs, and delivery milestones.</w:t>
            </w:r>
          </w:p>
          <w:p w14:paraId="2A3F6442" w14:textId="77777777" w:rsidR="000D4BA0" w:rsidRPr="000D4BA0" w:rsidRDefault="000D4BA0" w:rsidP="000D4BA0">
            <w:pPr>
              <w:numPr>
                <w:ilvl w:val="0"/>
                <w:numId w:val="12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record issues and actions taken.</w:t>
            </w:r>
          </w:p>
          <w:p w14:paraId="5CF60560" w14:textId="77777777" w:rsidR="000D4BA0" w:rsidRPr="000D4BA0" w:rsidRDefault="000D4BA0" w:rsidP="000D4BA0">
            <w:pPr>
              <w:numPr>
                <w:ilvl w:val="0"/>
                <w:numId w:val="12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maintain accurate records for audit</w:t>
            </w:r>
          </w:p>
          <w:p w14:paraId="65392610" w14:textId="77777777" w:rsidR="000D4BA0" w:rsidRPr="000D4BA0" w:rsidRDefault="000D4BA0" w:rsidP="000D4BA0">
            <w:pPr>
              <w:numPr>
                <w:ilvl w:val="0"/>
                <w:numId w:val="12"/>
              </w:numPr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consider how to capture benefits / savings / sustainable outcomes achieved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1F2"/>
            <w:hideMark/>
          </w:tcPr>
          <w:p w14:paraId="5C762D1F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lastRenderedPageBreak/>
              <w:t>ensures continual oversight</w:t>
            </w:r>
          </w:p>
          <w:p w14:paraId="3CADDB06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allows identification of trends or issues early</w:t>
            </w:r>
          </w:p>
          <w:p w14:paraId="74B84A12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confirms that the supplier is delivering the goods, works, or services </w:t>
            </w: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as specified in the contract</w:t>
            </w:r>
            <w:r w:rsidRPr="000D4BA0">
              <w:rPr>
                <w:rFonts w:cs="Arial"/>
                <w:color w:val="212529"/>
                <w:szCs w:val="24"/>
                <w:lang w:eastAsia="en-GB"/>
              </w:rPr>
              <w:t> — on time, to the right quality, and within budget</w:t>
            </w:r>
          </w:p>
          <w:p w14:paraId="5CFE8D06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highlights early if there are any </w:t>
            </w: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deviations, delays, or performance shortfalls</w:t>
            </w:r>
          </w:p>
          <w:p w14:paraId="2C74FC04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keeps both parties accountable to the agreed Key Performance Indicators (</w:t>
            </w:r>
            <w:proofErr w:type="spellStart"/>
            <w:r w:rsidRPr="000D4BA0">
              <w:rPr>
                <w:rFonts w:cs="Arial"/>
                <w:color w:val="212529"/>
                <w:szCs w:val="24"/>
                <w:lang w:eastAsia="en-GB"/>
              </w:rPr>
              <w:t>KPIs</w:t>
            </w:r>
            <w:proofErr w:type="spellEnd"/>
            <w:r w:rsidRPr="000D4BA0">
              <w:rPr>
                <w:rFonts w:cs="Arial"/>
                <w:color w:val="212529"/>
                <w:szCs w:val="24"/>
                <w:lang w:eastAsia="en-GB"/>
              </w:rPr>
              <w:t>) or Service Level Agreements (SLAs).</w:t>
            </w:r>
          </w:p>
          <w:p w14:paraId="1EF50151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without monitoring, you’re managing on assumptions — not evidence</w:t>
            </w:r>
          </w:p>
          <w:p w14:paraId="38404E6D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lastRenderedPageBreak/>
              <w:t>regular reports provide clear data on performance, costs, and outcomes</w:t>
            </w:r>
          </w:p>
          <w:p w14:paraId="160D88D0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enables managers to make informed decisions about </w:t>
            </w:r>
            <w:r w:rsidRPr="000D4BA0">
              <w:rPr>
                <w:rFonts w:cs="Arial"/>
                <w:b/>
                <w:bCs/>
                <w:color w:val="212529"/>
                <w:szCs w:val="24"/>
                <w:lang w:eastAsia="en-GB"/>
              </w:rPr>
              <w:t>renewals, extensions, variations, or corrective actions</w:t>
            </w:r>
          </w:p>
          <w:p w14:paraId="2046458B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creates an auditable trail showing how performance was managed and value was achieved</w:t>
            </w:r>
          </w:p>
          <w:p w14:paraId="42E69EE4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confirms that payments are linked to actual performance and outcomes</w:t>
            </w:r>
          </w:p>
          <w:p w14:paraId="246A6FEA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encourages suppliers to focus on continuous improvement and efficiency</w:t>
            </w:r>
          </w:p>
          <w:p w14:paraId="22542ABE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regular reporting and performance reviews create open communication channels.</w:t>
            </w:r>
          </w:p>
          <w:p w14:paraId="11F8807C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encourages collaboration, transparency, and shared problem-solving</w:t>
            </w:r>
          </w:p>
          <w:p w14:paraId="0565D723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builds trust and helps maintain a positive working relationship — even when issues arise</w:t>
            </w:r>
          </w:p>
          <w:p w14:paraId="2EFB1522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demonstrates that the organisation is managing contracts responsibly, in line with policy, audit, and statutory requirements (e.g. procurement regulations, public spending controls)</w:t>
            </w:r>
          </w:p>
          <w:p w14:paraId="716694C3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provides assurance to senior management and auditors that contracts are being managed effectively</w:t>
            </w:r>
          </w:p>
          <w:p w14:paraId="0765EDC3" w14:textId="77777777" w:rsidR="000D4BA0" w:rsidRPr="000D4BA0" w:rsidRDefault="000D4BA0" w:rsidP="000D4BA0">
            <w:pPr>
              <w:numPr>
                <w:ilvl w:val="0"/>
                <w:numId w:val="13"/>
              </w:numPr>
              <w:spacing w:beforeAutospacing="1" w:afterAutospacing="1"/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enables tracking of trends over time — spotting patterns in performance data and identifying opportunities for improvement</w:t>
            </w:r>
          </w:p>
          <w:p w14:paraId="6C5EFB1F" w14:textId="77777777" w:rsidR="000D4BA0" w:rsidRPr="000D4BA0" w:rsidRDefault="000D4BA0" w:rsidP="000D4BA0">
            <w:pPr>
              <w:numPr>
                <w:ilvl w:val="0"/>
                <w:numId w:val="13"/>
              </w:numPr>
              <w:rPr>
                <w:rFonts w:cs="Arial"/>
                <w:color w:val="212529"/>
                <w:szCs w:val="24"/>
                <w:lang w:eastAsia="en-GB"/>
              </w:rPr>
            </w:pPr>
            <w:r w:rsidRPr="000D4BA0">
              <w:rPr>
                <w:rFonts w:cs="Arial"/>
                <w:color w:val="212529"/>
                <w:szCs w:val="24"/>
                <w:lang w:eastAsia="en-GB"/>
              </w:rPr>
              <w:t>encourages innovation and better value through lessons learned and supplier feedback</w:t>
            </w:r>
          </w:p>
        </w:tc>
      </w:tr>
    </w:tbl>
    <w:p w14:paraId="63CEDDA7" w14:textId="77777777" w:rsidR="000D4BA0" w:rsidRDefault="000D4BA0" w:rsidP="000D4BA0"/>
    <w:p w14:paraId="6ABF105B" w14:textId="77777777" w:rsidR="000D4BA0" w:rsidRDefault="000D4BA0" w:rsidP="000D4BA0"/>
    <w:p w14:paraId="212445D2" w14:textId="77777777" w:rsidR="00753D5A" w:rsidRDefault="00753D5A" w:rsidP="000D4BA0"/>
    <w:p w14:paraId="6BA88B8E" w14:textId="2E3DEEC6" w:rsidR="000D4BA0" w:rsidRPr="000D4BA0" w:rsidRDefault="000D4BA0" w:rsidP="000D4BA0">
      <w:pPr>
        <w:pStyle w:val="ListParagraph"/>
        <w:numPr>
          <w:ilvl w:val="0"/>
          <w:numId w:val="7"/>
        </w:numPr>
        <w:rPr>
          <w:b/>
          <w:bCs/>
        </w:rPr>
      </w:pPr>
      <w:r w:rsidRPr="000D4BA0">
        <w:rPr>
          <w:b/>
          <w:bCs/>
        </w:rPr>
        <w:t>Variations / Extensions / Amendments</w:t>
      </w:r>
    </w:p>
    <w:p w14:paraId="6ADCA8A0" w14:textId="77777777" w:rsidR="000D4BA0" w:rsidRDefault="000D4BA0" w:rsidP="000D4BA0">
      <w:pPr>
        <w:rPr>
          <w:b/>
          <w:bCs/>
        </w:rPr>
      </w:pPr>
    </w:p>
    <w:p w14:paraId="45A97820" w14:textId="77777777" w:rsidR="000D4BA0" w:rsidRDefault="000D4BA0" w:rsidP="000D4BA0">
      <w:r w:rsidRPr="000D4BA0">
        <w:t>Variations (changes to requirements) and extensions to the contract should be exceptional, not routine.</w:t>
      </w:r>
    </w:p>
    <w:p w14:paraId="4F82D388" w14:textId="77777777" w:rsidR="000D4BA0" w:rsidRPr="000D4BA0" w:rsidRDefault="000D4BA0" w:rsidP="000D4BA0"/>
    <w:p w14:paraId="1172446F" w14:textId="77777777" w:rsidR="000D4BA0" w:rsidRDefault="000D4BA0" w:rsidP="000D4BA0">
      <w:r w:rsidRPr="000D4BA0">
        <w:t>Contract variations should only be permissible where changes do not significantly alter the original contract’s scope, value or duration.</w:t>
      </w:r>
    </w:p>
    <w:p w14:paraId="57942399" w14:textId="77777777" w:rsidR="000D4BA0" w:rsidRPr="000D4BA0" w:rsidRDefault="000D4BA0" w:rsidP="000D4BA0"/>
    <w:p w14:paraId="67B823DF" w14:textId="77777777" w:rsidR="000D4BA0" w:rsidRPr="000D4BA0" w:rsidRDefault="000D4BA0" w:rsidP="000D4BA0">
      <w:r w:rsidRPr="000D4BA0">
        <w:t>A significant change could be to the:</w:t>
      </w:r>
    </w:p>
    <w:p w14:paraId="1E452224" w14:textId="77777777" w:rsidR="000D4BA0" w:rsidRPr="000D4BA0" w:rsidRDefault="000D4BA0" w:rsidP="000D4BA0">
      <w:pPr>
        <w:numPr>
          <w:ilvl w:val="0"/>
          <w:numId w:val="14"/>
        </w:numPr>
      </w:pPr>
      <w:r w:rsidRPr="000D4BA0">
        <w:t>contract scope;</w:t>
      </w:r>
    </w:p>
    <w:p w14:paraId="5D3B89C8" w14:textId="77777777" w:rsidR="000D4BA0" w:rsidRPr="000D4BA0" w:rsidRDefault="000D4BA0" w:rsidP="000D4BA0">
      <w:pPr>
        <w:numPr>
          <w:ilvl w:val="0"/>
          <w:numId w:val="14"/>
        </w:numPr>
      </w:pPr>
      <w:r w:rsidRPr="000D4BA0">
        <w:t>contract value;</w:t>
      </w:r>
    </w:p>
    <w:p w14:paraId="50219B2B" w14:textId="77777777" w:rsidR="000D4BA0" w:rsidRDefault="000D4BA0" w:rsidP="000D4BA0">
      <w:pPr>
        <w:numPr>
          <w:ilvl w:val="0"/>
          <w:numId w:val="14"/>
        </w:numPr>
      </w:pPr>
      <w:r w:rsidRPr="000D4BA0">
        <w:t>contract duration.</w:t>
      </w:r>
    </w:p>
    <w:p w14:paraId="064555F8" w14:textId="77777777" w:rsidR="000D4BA0" w:rsidRPr="000D4BA0" w:rsidRDefault="000D4BA0" w:rsidP="00982BE5">
      <w:pPr>
        <w:ind w:left="720"/>
      </w:pPr>
    </w:p>
    <w:p w14:paraId="344A8E79" w14:textId="77777777" w:rsidR="000D4BA0" w:rsidRDefault="000D4BA0" w:rsidP="000D4BA0">
      <w:r w:rsidRPr="000D4BA0">
        <w:t>If a proposed change is significant (change in scope, large value increase, much longer duration) then you may need to conduct a new procurement exercise.</w:t>
      </w:r>
    </w:p>
    <w:p w14:paraId="60928BBB" w14:textId="67E8526C" w:rsidR="000D4BA0" w:rsidRPr="000D4BA0" w:rsidRDefault="000D4BA0" w:rsidP="000D4BA0"/>
    <w:p w14:paraId="1878C305" w14:textId="77777777" w:rsidR="000D4BA0" w:rsidRDefault="000D4BA0" w:rsidP="000D4BA0">
      <w:r w:rsidRPr="000D4BA0">
        <w:t>If a significant change to the contract is proposed, you must contact your local Procurement Function or Centre of Expertise for advice on how to proceed before making changes.</w:t>
      </w:r>
    </w:p>
    <w:p w14:paraId="46243D10" w14:textId="77777777" w:rsidR="000D4BA0" w:rsidRPr="000D4BA0" w:rsidRDefault="000D4BA0" w:rsidP="000D4BA0"/>
    <w:tbl>
      <w:tblPr>
        <w:tblW w:w="10207" w:type="dxa"/>
        <w:tblInd w:w="-1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shd w:val="clear" w:color="auto" w:fill="F2F1F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6442"/>
      </w:tblGrid>
      <w:tr w:rsidR="000D4BA0" w:rsidRPr="000D4BA0" w14:paraId="4225CB4B" w14:textId="77777777" w:rsidTr="00982BE5">
        <w:trPr>
          <w:trHeight w:val="300"/>
        </w:trPr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BDD"/>
            <w:hideMark/>
          </w:tcPr>
          <w:p w14:paraId="6BDE4F76" w14:textId="77777777" w:rsidR="000D4BA0" w:rsidRPr="000D4BA0" w:rsidRDefault="000D4BA0" w:rsidP="000D4BA0">
            <w:pPr>
              <w:jc w:val="center"/>
              <w:rPr>
                <w:b/>
                <w:bCs/>
              </w:rPr>
            </w:pPr>
            <w:r w:rsidRPr="000D4BA0">
              <w:rPr>
                <w:b/>
                <w:bCs/>
              </w:rPr>
              <w:t>Suggested  Responsibilities/Considerations</w:t>
            </w:r>
          </w:p>
        </w:tc>
        <w:tc>
          <w:tcPr>
            <w:tcW w:w="6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BDD"/>
            <w:hideMark/>
          </w:tcPr>
          <w:p w14:paraId="4A9B47FE" w14:textId="77777777" w:rsidR="000D4BA0" w:rsidRPr="000D4BA0" w:rsidRDefault="000D4BA0" w:rsidP="000D4BA0">
            <w:pPr>
              <w:jc w:val="center"/>
              <w:rPr>
                <w:b/>
                <w:bCs/>
              </w:rPr>
            </w:pPr>
            <w:r w:rsidRPr="000D4BA0">
              <w:rPr>
                <w:b/>
                <w:bCs/>
              </w:rPr>
              <w:t>Why it is Important</w:t>
            </w:r>
          </w:p>
        </w:tc>
      </w:tr>
      <w:tr w:rsidR="000D4BA0" w:rsidRPr="000D4BA0" w14:paraId="7F88F3E7" w14:textId="77777777" w:rsidTr="00982BE5">
        <w:trPr>
          <w:trHeight w:val="300"/>
        </w:trPr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1F2"/>
            <w:hideMark/>
          </w:tcPr>
          <w:p w14:paraId="3EF4C4ED" w14:textId="0C5A2C46" w:rsidR="000D4BA0" w:rsidRPr="000D4BA0" w:rsidRDefault="614F24D0" w:rsidP="000D4BA0">
            <w:pPr>
              <w:numPr>
                <w:ilvl w:val="0"/>
                <w:numId w:val="15"/>
              </w:numPr>
            </w:pPr>
            <w:r>
              <w:t>Is the variation/ extension or amendment permitted</w:t>
            </w:r>
            <w:r w:rsidR="6F69B0C2">
              <w:t>?</w:t>
            </w:r>
          </w:p>
          <w:p w14:paraId="4F339947" w14:textId="77777777" w:rsidR="000D4BA0" w:rsidRPr="000D4BA0" w:rsidRDefault="000D4BA0" w:rsidP="000D4BA0">
            <w:pPr>
              <w:numPr>
                <w:ilvl w:val="0"/>
                <w:numId w:val="15"/>
              </w:numPr>
            </w:pPr>
            <w:r w:rsidRPr="000D4BA0">
              <w:t>process to follow - all changes must follow formal change control procedures</w:t>
            </w:r>
          </w:p>
          <w:p w14:paraId="098C2930" w14:textId="77777777" w:rsidR="000D4BA0" w:rsidRPr="000D4BA0" w:rsidRDefault="000D4BA0" w:rsidP="000D4BA0">
            <w:pPr>
              <w:numPr>
                <w:ilvl w:val="0"/>
                <w:numId w:val="15"/>
              </w:numPr>
            </w:pPr>
            <w:r w:rsidRPr="000D4BA0">
              <w:t>procurement must be involved in significant amendments</w:t>
            </w:r>
          </w:p>
          <w:p w14:paraId="6114DB98" w14:textId="362E1331" w:rsidR="000D4BA0" w:rsidRPr="000D4BA0" w:rsidRDefault="000D4BA0" w:rsidP="000D4BA0">
            <w:pPr>
              <w:numPr>
                <w:ilvl w:val="0"/>
                <w:numId w:val="15"/>
              </w:numPr>
            </w:pPr>
            <w:r>
              <w:t>escalation should be earlier for high-risk/strategic suppliers, and proportionate</w:t>
            </w:r>
            <w:r w:rsidR="6AA92095">
              <w:t>. Please refer to Route 2 or Route 3 for more detailed guidance, if required.</w:t>
            </w:r>
          </w:p>
        </w:tc>
        <w:tc>
          <w:tcPr>
            <w:tcW w:w="6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1F2"/>
            <w:hideMark/>
          </w:tcPr>
          <w:p w14:paraId="78394928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variation, extension, or amendment changes the terms of a legally binding agreement</w:t>
            </w:r>
          </w:p>
          <w:p w14:paraId="48B875CC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proper management ensures changes are authorised, documented, and compliant with procurement and governance rules</w:t>
            </w:r>
          </w:p>
          <w:p w14:paraId="678BED19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prevents disputes or claims later about what was or wasn’t agreed</w:t>
            </w:r>
          </w:p>
          <w:p w14:paraId="7E13B7B0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without a formal process, even small changes can invalidate parts of the contract or create ambiguity</w:t>
            </w:r>
          </w:p>
          <w:p w14:paraId="557AD272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public sector organisations must show that all contract changes are fair, transparent, and traceable</w:t>
            </w:r>
          </w:p>
          <w:p w14:paraId="63E854D3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clear records of variations support audit, governance, and reporting requirements.</w:t>
            </w:r>
          </w:p>
          <w:p w14:paraId="630B14B1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demonstrates accountability for decision-making and use of public funds</w:t>
            </w:r>
          </w:p>
          <w:p w14:paraId="3B25B5AC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A structured variation process creates documented evidence of:</w:t>
            </w:r>
          </w:p>
          <w:p w14:paraId="30B76C7D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what changed and why</w:t>
            </w:r>
          </w:p>
          <w:p w14:paraId="07C9CB8F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who approved it;</w:t>
            </w:r>
          </w:p>
          <w:p w14:paraId="6392DFC0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when it was implemented</w:t>
            </w:r>
          </w:p>
          <w:p w14:paraId="149EA870" w14:textId="77777777" w:rsidR="000D4BA0" w:rsidRPr="000D4BA0" w:rsidRDefault="000D4BA0" w:rsidP="000D4BA0">
            <w:pPr>
              <w:numPr>
                <w:ilvl w:val="0"/>
                <w:numId w:val="16"/>
              </w:numPr>
            </w:pPr>
            <w:r w:rsidRPr="000D4BA0">
              <w:t>the impact on cost, scope, and delivery.</w:t>
            </w:r>
          </w:p>
          <w:p w14:paraId="25B08271" w14:textId="77777777" w:rsidR="000D4BA0" w:rsidRPr="000D4BA0" w:rsidRDefault="000D4BA0" w:rsidP="000D4BA0">
            <w:r w:rsidRPr="000D4BA0">
              <w:t>This is vital for </w:t>
            </w:r>
            <w:hyperlink r:id="rId7" w:history="1">
              <w:r w:rsidRPr="000D4BA0">
                <w:rPr>
                  <w:rStyle w:val="Hyperlink"/>
                </w:rPr>
                <w:t>governance</w:t>
              </w:r>
            </w:hyperlink>
            <w:r w:rsidRPr="000D4BA0">
              <w:t>, </w:t>
            </w:r>
            <w:hyperlink r:id="rId8" w:history="1">
              <w:r w:rsidRPr="000D4BA0">
                <w:rPr>
                  <w:rStyle w:val="Hyperlink"/>
                </w:rPr>
                <w:t>risk management </w:t>
              </w:r>
            </w:hyperlink>
            <w:r w:rsidRPr="000D4BA0">
              <w:t>and </w:t>
            </w:r>
            <w:hyperlink r:id="rId9" w:history="1">
              <w:r w:rsidRPr="000D4BA0">
                <w:rPr>
                  <w:rStyle w:val="Hyperlink"/>
                </w:rPr>
                <w:t>lessons learned.</w:t>
              </w:r>
            </w:hyperlink>
          </w:p>
        </w:tc>
      </w:tr>
    </w:tbl>
    <w:p w14:paraId="6FBD5BDA" w14:textId="77777777" w:rsidR="000D4BA0" w:rsidRDefault="000D4BA0" w:rsidP="000D4BA0">
      <w:pPr>
        <w:rPr>
          <w:b/>
          <w:bCs/>
        </w:rPr>
      </w:pPr>
    </w:p>
    <w:p w14:paraId="76CC67FD" w14:textId="77777777" w:rsidR="000D4BA0" w:rsidRDefault="000D4BA0" w:rsidP="000D4BA0">
      <w:r w:rsidRPr="000D4BA0">
        <w:t>A </w:t>
      </w:r>
      <w:r w:rsidRPr="000D4BA0">
        <w:rPr>
          <w:b/>
          <w:bCs/>
        </w:rPr>
        <w:t>Contract Variation Request Form</w:t>
      </w:r>
      <w:r w:rsidRPr="000D4BA0">
        <w:t xml:space="preserve"> is available for you to use and can be found at the bottom </w:t>
      </w:r>
      <w:r>
        <w:t xml:space="preserve">of the Route 1 </w:t>
      </w:r>
      <w:proofErr w:type="spellStart"/>
      <w:r>
        <w:t>CSM</w:t>
      </w:r>
      <w:proofErr w:type="spellEnd"/>
      <w:r>
        <w:t xml:space="preserve"> Procurement Journey page.</w:t>
      </w:r>
    </w:p>
    <w:p w14:paraId="7DB56148" w14:textId="77777777" w:rsidR="00753D5A" w:rsidRDefault="00753D5A" w:rsidP="000D4BA0"/>
    <w:p w14:paraId="525BC1D8" w14:textId="77777777" w:rsidR="00753D5A" w:rsidRDefault="00753D5A" w:rsidP="000D4BA0"/>
    <w:p w14:paraId="72574D7B" w14:textId="77777777" w:rsidR="00753D5A" w:rsidRDefault="00753D5A" w:rsidP="000D4BA0"/>
    <w:p w14:paraId="5AA557F8" w14:textId="7BBED50E" w:rsidR="00753D5A" w:rsidRPr="00753D5A" w:rsidRDefault="00753D5A" w:rsidP="00753D5A">
      <w:pPr>
        <w:pStyle w:val="ListParagraph"/>
        <w:numPr>
          <w:ilvl w:val="0"/>
          <w:numId w:val="7"/>
        </w:numPr>
        <w:rPr>
          <w:b/>
          <w:bCs/>
        </w:rPr>
      </w:pPr>
      <w:r w:rsidRPr="00753D5A">
        <w:rPr>
          <w:b/>
          <w:bCs/>
        </w:rPr>
        <w:t>Dispute Resolution / Termination / Contract Exit</w:t>
      </w:r>
    </w:p>
    <w:p w14:paraId="51711EFE" w14:textId="77777777" w:rsidR="00753D5A" w:rsidRDefault="00753D5A" w:rsidP="00753D5A">
      <w:pPr>
        <w:rPr>
          <w:b/>
          <w:bCs/>
        </w:rPr>
      </w:pPr>
    </w:p>
    <w:p w14:paraId="509B27A8" w14:textId="77777777" w:rsidR="00753D5A" w:rsidRPr="00753D5A" w:rsidRDefault="00753D5A" w:rsidP="00753D5A">
      <w:pPr>
        <w:rPr>
          <w:b/>
          <w:bCs/>
        </w:rPr>
      </w:pPr>
    </w:p>
    <w:tbl>
      <w:tblPr>
        <w:tblW w:w="1020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2F1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6522"/>
      </w:tblGrid>
      <w:tr w:rsidR="00753D5A" w:rsidRPr="00753D5A" w14:paraId="7FAE4778" w14:textId="77777777" w:rsidTr="00753D5A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BDD"/>
            <w:hideMark/>
          </w:tcPr>
          <w:p w14:paraId="63F7AE9B" w14:textId="77777777" w:rsidR="00753D5A" w:rsidRPr="00753D5A" w:rsidRDefault="00753D5A" w:rsidP="00753D5A">
            <w:pPr>
              <w:jc w:val="center"/>
              <w:rPr>
                <w:b/>
                <w:bCs/>
              </w:rPr>
            </w:pPr>
            <w:r w:rsidRPr="00753D5A">
              <w:rPr>
                <w:b/>
                <w:bCs/>
              </w:rPr>
              <w:t>Suggested Responsibilities/Considerations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BDD"/>
            <w:hideMark/>
          </w:tcPr>
          <w:p w14:paraId="2FF25B88" w14:textId="77777777" w:rsidR="00753D5A" w:rsidRPr="00753D5A" w:rsidRDefault="00753D5A" w:rsidP="00753D5A">
            <w:pPr>
              <w:jc w:val="center"/>
              <w:rPr>
                <w:b/>
                <w:bCs/>
              </w:rPr>
            </w:pPr>
            <w:r w:rsidRPr="00753D5A">
              <w:rPr>
                <w:b/>
                <w:bCs/>
              </w:rPr>
              <w:t>Why it is Important</w:t>
            </w:r>
          </w:p>
        </w:tc>
      </w:tr>
      <w:tr w:rsidR="00753D5A" w:rsidRPr="00753D5A" w14:paraId="3FAC07D5" w14:textId="77777777" w:rsidTr="00753D5A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1F2"/>
            <w:hideMark/>
          </w:tcPr>
          <w:p w14:paraId="5BF8C958" w14:textId="77777777" w:rsidR="00753D5A" w:rsidRPr="00753D5A" w:rsidRDefault="00753D5A" w:rsidP="00753D5A">
            <w:pPr>
              <w:numPr>
                <w:ilvl w:val="0"/>
                <w:numId w:val="17"/>
              </w:numPr>
            </w:pPr>
            <w:r w:rsidRPr="00753D5A">
              <w:t>escalate issues early to procurement or legal</w:t>
            </w:r>
          </w:p>
          <w:p w14:paraId="72510D75" w14:textId="77777777" w:rsidR="00753D5A" w:rsidRPr="00753D5A" w:rsidRDefault="00753D5A" w:rsidP="00753D5A">
            <w:pPr>
              <w:numPr>
                <w:ilvl w:val="0"/>
                <w:numId w:val="17"/>
              </w:numPr>
            </w:pPr>
            <w:r w:rsidRPr="00753D5A">
              <w:t>follow dispute resolution procedures set out in the contract</w:t>
            </w:r>
          </w:p>
          <w:p w14:paraId="2A7E2F33" w14:textId="77777777" w:rsidR="00753D5A" w:rsidRPr="00753D5A" w:rsidRDefault="00753D5A" w:rsidP="00753D5A">
            <w:pPr>
              <w:numPr>
                <w:ilvl w:val="0"/>
                <w:numId w:val="17"/>
              </w:numPr>
            </w:pPr>
            <w:r w:rsidRPr="00753D5A">
              <w:t>document the exit strategy/reasons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1F2"/>
            <w:hideMark/>
          </w:tcPr>
          <w:p w14:paraId="45E58E5F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ensures staff know what to do when things go wrong</w:t>
            </w:r>
          </w:p>
          <w:p w14:paraId="129399FF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avoids delay or avoidance of necessary action</w:t>
            </w:r>
          </w:p>
          <w:p w14:paraId="43878A0D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every contract sets out obligations, rights, and remedies for both parties</w:t>
            </w:r>
          </w:p>
          <w:p w14:paraId="41C7FA53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having a clear dispute resolution and termination process ensures the organisation </w:t>
            </w:r>
            <w:r w:rsidRPr="00753D5A">
              <w:rPr>
                <w:b/>
                <w:bCs/>
              </w:rPr>
              <w:t>can enforce those rights lawfully</w:t>
            </w:r>
            <w:r w:rsidRPr="00753D5A">
              <w:t> if things go wrong</w:t>
            </w:r>
          </w:p>
          <w:p w14:paraId="2FDB27AE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prevents informal, inconsistent, or unlawful actions that could lead to </w:t>
            </w:r>
            <w:r w:rsidRPr="00753D5A">
              <w:rPr>
                <w:b/>
                <w:bCs/>
              </w:rPr>
              <w:t>legal claims, damages, or reputational harm</w:t>
            </w:r>
          </w:p>
          <w:p w14:paraId="058E1CC6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proper procedures protect both the buyer and supplier — ensuring fairness and due process</w:t>
            </w:r>
          </w:p>
          <w:p w14:paraId="37F2943F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disputes or terminations are moments of high risk</w:t>
            </w:r>
          </w:p>
          <w:p w14:paraId="702E1731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a structured process helps the organisation stay </w:t>
            </w:r>
            <w:r w:rsidRPr="00753D5A">
              <w:rPr>
                <w:b/>
                <w:bCs/>
              </w:rPr>
              <w:t>in control</w:t>
            </w:r>
            <w:r w:rsidRPr="00753D5A">
              <w:t>, following a calm, documented, and compliant approach rather than reacting under pressure</w:t>
            </w:r>
          </w:p>
          <w:p w14:paraId="333C98A1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ensures key stakeholders (legal, finance, governance) are engaged early</w:t>
            </w:r>
          </w:p>
          <w:p w14:paraId="36B82CA2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quick, well-managed resolution of issues helps </w:t>
            </w:r>
            <w:r w:rsidRPr="00753D5A">
              <w:rPr>
                <w:b/>
                <w:bCs/>
              </w:rPr>
              <w:t>avoid service disruption</w:t>
            </w:r>
            <w:r w:rsidRPr="00753D5A">
              <w:t> or </w:t>
            </w:r>
            <w:r w:rsidRPr="00753D5A">
              <w:rPr>
                <w:b/>
                <w:bCs/>
              </w:rPr>
              <w:t>cost escalation</w:t>
            </w:r>
          </w:p>
          <w:p w14:paraId="52951C04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enables timely negotiation or corrective action before problems worsen</w:t>
            </w:r>
          </w:p>
          <w:p w14:paraId="3D60A523" w14:textId="77777777" w:rsidR="00753D5A" w:rsidRPr="00753D5A" w:rsidRDefault="00753D5A" w:rsidP="00753D5A">
            <w:pPr>
              <w:numPr>
                <w:ilvl w:val="0"/>
                <w:numId w:val="18"/>
              </w:numPr>
            </w:pPr>
            <w:r w:rsidRPr="00753D5A">
              <w:t>if termination is unavoidable, ensures a </w:t>
            </w:r>
            <w:r w:rsidRPr="00753D5A">
              <w:rPr>
                <w:b/>
                <w:bCs/>
              </w:rPr>
              <w:t>smooth and cost-effective exit</w:t>
            </w:r>
            <w:r w:rsidRPr="00753D5A">
              <w:t>, minimising penalties or loss </w:t>
            </w:r>
          </w:p>
        </w:tc>
      </w:tr>
    </w:tbl>
    <w:p w14:paraId="2559A86A" w14:textId="77777777" w:rsidR="00753D5A" w:rsidRDefault="00753D5A" w:rsidP="00753D5A"/>
    <w:p w14:paraId="0D57C8C9" w14:textId="30F44075" w:rsidR="00753D5A" w:rsidRDefault="00753D5A" w:rsidP="00753D5A">
      <w:r w:rsidRPr="00753D5A">
        <w:t xml:space="preserve">A </w:t>
      </w:r>
      <w:proofErr w:type="spellStart"/>
      <w:r w:rsidRPr="00753D5A">
        <w:rPr>
          <w:b/>
          <w:bCs/>
        </w:rPr>
        <w:t>CSM</w:t>
      </w:r>
      <w:proofErr w:type="spellEnd"/>
      <w:r w:rsidRPr="00753D5A">
        <w:rPr>
          <w:b/>
          <w:bCs/>
        </w:rPr>
        <w:t xml:space="preserve"> Exit Strategy Template</w:t>
      </w:r>
      <w:r w:rsidRPr="00753D5A">
        <w:t xml:space="preserve"> is available for you to use at the bottom of</w:t>
      </w:r>
      <w:r>
        <w:t xml:space="preserve"> the Route 1 </w:t>
      </w:r>
      <w:proofErr w:type="spellStart"/>
      <w:r>
        <w:t>CSM</w:t>
      </w:r>
      <w:proofErr w:type="spellEnd"/>
      <w:r>
        <w:t xml:space="preserve"> Procurement Journey page.</w:t>
      </w:r>
    </w:p>
    <w:p w14:paraId="45B5413B" w14:textId="7BBE7060" w:rsidR="00753D5A" w:rsidRPr="00753D5A" w:rsidRDefault="00753D5A" w:rsidP="00753D5A"/>
    <w:p w14:paraId="4C526CCC" w14:textId="77777777" w:rsidR="00753D5A" w:rsidRDefault="00753D5A" w:rsidP="000D4BA0"/>
    <w:p w14:paraId="6F775621" w14:textId="77777777" w:rsidR="00753D5A" w:rsidRDefault="00753D5A" w:rsidP="000D4BA0"/>
    <w:p w14:paraId="624E49C9" w14:textId="77777777" w:rsidR="00753D5A" w:rsidRDefault="00753D5A" w:rsidP="000D4BA0"/>
    <w:p w14:paraId="4401D05D" w14:textId="1ABE39D7" w:rsidR="000D4BA0" w:rsidRPr="000D4BA0" w:rsidRDefault="000D4BA0" w:rsidP="000D4BA0"/>
    <w:p w14:paraId="181515CF" w14:textId="77777777" w:rsidR="000D4BA0" w:rsidRPr="000D4BA0" w:rsidRDefault="000D4BA0" w:rsidP="000D4BA0">
      <w:pPr>
        <w:rPr>
          <w:b/>
          <w:bCs/>
        </w:rPr>
      </w:pPr>
    </w:p>
    <w:p w14:paraId="13A43660" w14:textId="77777777" w:rsidR="000D4BA0" w:rsidRPr="009B7615" w:rsidRDefault="000D4BA0" w:rsidP="00753D5A">
      <w:pPr>
        <w:jc w:val="center"/>
      </w:pPr>
    </w:p>
    <w:sectPr w:rsidR="000D4BA0" w:rsidRPr="009B7615" w:rsidSect="00B561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BB70" w14:textId="77777777" w:rsidR="00363614" w:rsidRDefault="00363614" w:rsidP="00753D5A">
      <w:r>
        <w:separator/>
      </w:r>
    </w:p>
  </w:endnote>
  <w:endnote w:type="continuationSeparator" w:id="0">
    <w:p w14:paraId="3166D9CA" w14:textId="77777777" w:rsidR="00363614" w:rsidRDefault="00363614" w:rsidP="0075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3251" w14:textId="77777777" w:rsidR="000D1807" w:rsidRDefault="000D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41F" w14:textId="2FB44E53" w:rsidR="00753D5A" w:rsidRPr="000D1807" w:rsidRDefault="000D1807" w:rsidP="000D1807">
    <w:pPr>
      <w:pStyle w:val="Footer"/>
      <w:ind w:hanging="709"/>
      <w:rPr>
        <w:rFonts w:cs="Arial"/>
        <w:b/>
        <w:bCs/>
        <w:color w:val="CC3300"/>
        <w:shd w:val="clear" w:color="auto" w:fill="FFFFFF"/>
      </w:rPr>
    </w:pPr>
    <w:proofErr w:type="spellStart"/>
    <w:r w:rsidRPr="00603ED7">
      <w:t>R1</w:t>
    </w:r>
    <w:proofErr w:type="spellEnd"/>
    <w:r w:rsidRPr="00603ED7">
      <w:t>-1</w:t>
    </w:r>
    <w:r>
      <w:t>3-</w:t>
    </w:r>
    <w:r w:rsidRPr="00603ED7">
      <w:t>A</w:t>
    </w:r>
    <w:r>
      <w:t xml:space="preserve">                                                                                             </w:t>
    </w:r>
    <w:r w:rsidR="00753D5A">
      <w:rPr>
        <w:rStyle w:val="normaltextrun"/>
        <w:rFonts w:cs="Arial"/>
        <w:b/>
        <w:bCs/>
        <w:color w:val="CC3300"/>
        <w:shd w:val="clear" w:color="auto" w:fill="FFFFFF"/>
      </w:rPr>
      <w:t>Pr</w:t>
    </w:r>
    <w:r w:rsidR="00753D5A">
      <w:rPr>
        <w:rStyle w:val="normaltextrun"/>
        <w:rFonts w:cs="Arial"/>
        <w:b/>
        <w:bCs/>
        <w:color w:val="000000"/>
        <w:shd w:val="clear" w:color="auto" w:fill="FFFFFF"/>
      </w:rPr>
      <w:t>o</w:t>
    </w:r>
    <w:r w:rsidR="00753D5A">
      <w:rPr>
        <w:rStyle w:val="normaltextrun"/>
        <w:rFonts w:cs="Arial"/>
        <w:b/>
        <w:bCs/>
        <w:color w:val="CC3300"/>
        <w:shd w:val="clear" w:color="auto" w:fill="FFFFFF"/>
      </w:rPr>
      <w:t>curement J</w:t>
    </w:r>
    <w:r w:rsidR="00753D5A">
      <w:rPr>
        <w:rStyle w:val="normaltextrun"/>
        <w:rFonts w:cs="Arial"/>
        <w:b/>
        <w:bCs/>
        <w:color w:val="000000"/>
        <w:shd w:val="clear" w:color="auto" w:fill="FFFFFF"/>
      </w:rPr>
      <w:t>o</w:t>
    </w:r>
    <w:r w:rsidR="00753D5A">
      <w:rPr>
        <w:rStyle w:val="normaltextrun"/>
        <w:rFonts w:cs="Arial"/>
        <w:b/>
        <w:bCs/>
        <w:color w:val="CC3300"/>
        <w:shd w:val="clear" w:color="auto" w:fill="FFFFFF"/>
      </w:rPr>
      <w:t>urney</w:t>
    </w:r>
    <w:r w:rsidR="00753D5A">
      <w:rPr>
        <w:rStyle w:val="normaltextrun"/>
        <w:rFonts w:cs="Arial"/>
        <w:b/>
        <w:bCs/>
        <w:color w:val="000000"/>
        <w:shd w:val="clear" w:color="auto" w:fill="FFFFFF"/>
      </w:rPr>
      <w:t> </w:t>
    </w:r>
    <w:r w:rsidR="00753D5A">
      <w:rPr>
        <w:rStyle w:val="eop"/>
        <w:rFonts w:cs="Arial"/>
        <w:color w:val="000000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4F16" w14:textId="77777777" w:rsidR="000D1807" w:rsidRDefault="000D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B4AF" w14:textId="77777777" w:rsidR="00363614" w:rsidRDefault="00363614" w:rsidP="00753D5A">
      <w:r>
        <w:separator/>
      </w:r>
    </w:p>
  </w:footnote>
  <w:footnote w:type="continuationSeparator" w:id="0">
    <w:p w14:paraId="3C515E1C" w14:textId="77777777" w:rsidR="00363614" w:rsidRDefault="00363614" w:rsidP="0075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C8ED" w14:textId="77777777" w:rsidR="000D1807" w:rsidRDefault="000D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871F" w14:textId="77777777" w:rsidR="000D1807" w:rsidRDefault="000D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3AEF" w14:textId="77777777" w:rsidR="000D1807" w:rsidRDefault="000D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A91EC3"/>
    <w:multiLevelType w:val="multilevel"/>
    <w:tmpl w:val="9BD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C2BAE"/>
    <w:multiLevelType w:val="multilevel"/>
    <w:tmpl w:val="E48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207A8"/>
    <w:multiLevelType w:val="multilevel"/>
    <w:tmpl w:val="F710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2EAB"/>
    <w:multiLevelType w:val="multilevel"/>
    <w:tmpl w:val="14DE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33D87"/>
    <w:multiLevelType w:val="multilevel"/>
    <w:tmpl w:val="5110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B20F4"/>
    <w:multiLevelType w:val="multilevel"/>
    <w:tmpl w:val="B79C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861BB"/>
    <w:multiLevelType w:val="multilevel"/>
    <w:tmpl w:val="1C0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075D3"/>
    <w:multiLevelType w:val="multilevel"/>
    <w:tmpl w:val="CD36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32261"/>
    <w:multiLevelType w:val="multilevel"/>
    <w:tmpl w:val="147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028C8"/>
    <w:multiLevelType w:val="multilevel"/>
    <w:tmpl w:val="681C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955D7"/>
    <w:multiLevelType w:val="hybridMultilevel"/>
    <w:tmpl w:val="7D409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3C7214"/>
    <w:multiLevelType w:val="multilevel"/>
    <w:tmpl w:val="61B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469">
    <w:abstractNumId w:val="12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12"/>
  </w:num>
  <w:num w:numId="6" w16cid:durableId="1453861693">
    <w:abstractNumId w:val="0"/>
  </w:num>
  <w:num w:numId="7" w16cid:durableId="1755860037">
    <w:abstractNumId w:val="11"/>
  </w:num>
  <w:num w:numId="8" w16cid:durableId="1677922652">
    <w:abstractNumId w:val="7"/>
  </w:num>
  <w:num w:numId="9" w16cid:durableId="363332920">
    <w:abstractNumId w:val="5"/>
  </w:num>
  <w:num w:numId="10" w16cid:durableId="230622717">
    <w:abstractNumId w:val="6"/>
  </w:num>
  <w:num w:numId="11" w16cid:durableId="1686126104">
    <w:abstractNumId w:val="13"/>
  </w:num>
  <w:num w:numId="12" w16cid:durableId="275455308">
    <w:abstractNumId w:val="1"/>
  </w:num>
  <w:num w:numId="13" w16cid:durableId="1773551883">
    <w:abstractNumId w:val="3"/>
  </w:num>
  <w:num w:numId="14" w16cid:durableId="1666319763">
    <w:abstractNumId w:val="10"/>
  </w:num>
  <w:num w:numId="15" w16cid:durableId="903948261">
    <w:abstractNumId w:val="2"/>
  </w:num>
  <w:num w:numId="16" w16cid:durableId="409620289">
    <w:abstractNumId w:val="8"/>
  </w:num>
  <w:num w:numId="17" w16cid:durableId="780026885">
    <w:abstractNumId w:val="9"/>
  </w:num>
  <w:num w:numId="18" w16cid:durableId="155238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0"/>
    <w:rsid w:val="00027C27"/>
    <w:rsid w:val="000C0CF4"/>
    <w:rsid w:val="000D1807"/>
    <w:rsid w:val="000D4BA0"/>
    <w:rsid w:val="00281579"/>
    <w:rsid w:val="00306C61"/>
    <w:rsid w:val="00363614"/>
    <w:rsid w:val="0037582B"/>
    <w:rsid w:val="005222A8"/>
    <w:rsid w:val="00753D5A"/>
    <w:rsid w:val="00857548"/>
    <w:rsid w:val="00904655"/>
    <w:rsid w:val="00982BE5"/>
    <w:rsid w:val="009B7615"/>
    <w:rsid w:val="00AB2E96"/>
    <w:rsid w:val="00B51BDC"/>
    <w:rsid w:val="00B561C0"/>
    <w:rsid w:val="00B773CE"/>
    <w:rsid w:val="00BE60A2"/>
    <w:rsid w:val="00C00B92"/>
    <w:rsid w:val="00C91823"/>
    <w:rsid w:val="00D008AB"/>
    <w:rsid w:val="00E57A8B"/>
    <w:rsid w:val="00F05F99"/>
    <w:rsid w:val="00F23E92"/>
    <w:rsid w:val="00F84755"/>
    <w:rsid w:val="00FA4BC1"/>
    <w:rsid w:val="01B062C8"/>
    <w:rsid w:val="09D7EE0F"/>
    <w:rsid w:val="0B3C3FCC"/>
    <w:rsid w:val="0F930918"/>
    <w:rsid w:val="133BDABE"/>
    <w:rsid w:val="16869FE7"/>
    <w:rsid w:val="1886A1AA"/>
    <w:rsid w:val="1D78480D"/>
    <w:rsid w:val="33064A82"/>
    <w:rsid w:val="359CB7C1"/>
    <w:rsid w:val="36C6C83A"/>
    <w:rsid w:val="3A3166BD"/>
    <w:rsid w:val="3CBCC214"/>
    <w:rsid w:val="3D16F8D2"/>
    <w:rsid w:val="40255705"/>
    <w:rsid w:val="4BC88424"/>
    <w:rsid w:val="525DCBFF"/>
    <w:rsid w:val="5CA9F0A7"/>
    <w:rsid w:val="5D80E164"/>
    <w:rsid w:val="5F9E15F3"/>
    <w:rsid w:val="614F24D0"/>
    <w:rsid w:val="61B069A6"/>
    <w:rsid w:val="62D1191B"/>
    <w:rsid w:val="66C3BDC3"/>
    <w:rsid w:val="6A73C4BF"/>
    <w:rsid w:val="6AA92095"/>
    <w:rsid w:val="6F69B0C2"/>
    <w:rsid w:val="7F1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635F"/>
  <w15:chartTrackingRefBased/>
  <w15:docId w15:val="{B59AE653-C823-40A4-8287-94774A3B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4B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B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B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B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B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B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4BA0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BA0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BA0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BA0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BA0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BA0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D4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B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B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BA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D4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BA0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D4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BA0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D4B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B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A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53D5A"/>
  </w:style>
  <w:style w:type="character" w:customStyle="1" w:styleId="eop">
    <w:name w:val="eop"/>
    <w:basedOn w:val="DefaultParagraphFont"/>
    <w:rsid w:val="00753D5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57A8B"/>
    <w:rPr>
      <w:rFonts w:ascii="Arial" w:hAnsi="Arial" w:cs="Times New Roman"/>
      <w:kern w:val="0"/>
      <w:sz w:val="24"/>
      <w:szCs w:val="20"/>
      <w14:ligatures w14:val="none"/>
    </w:rPr>
  </w:style>
  <w:style w:type="paragraph" w:customStyle="1" w:styleId="paragraph">
    <w:name w:val="paragraph"/>
    <w:basedOn w:val="Normal"/>
    <w:rsid w:val="00982BE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mentjourney.scot/additional-resources/risk-managem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rocurementjourney.scot/additional-resources/leadership-governanc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curementjourney.scot/route-1/lessons-learne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7</cp:revision>
  <dcterms:created xsi:type="dcterms:W3CDTF">2025-11-14T14:01:00Z</dcterms:created>
  <dcterms:modified xsi:type="dcterms:W3CDTF">2025-12-11T11:36:00Z</dcterms:modified>
</cp:coreProperties>
</file>