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CBE" w:rsidRDefault="00642CBE" w:rsidP="007F4DBB">
      <w:pPr>
        <w:spacing w:line="0" w:lineRule="atLeast"/>
        <w:ind w:left="6"/>
        <w:jc w:val="center"/>
        <w:rPr>
          <w:rFonts w:ascii="Arial" w:eastAsia="Arial" w:hAnsi="Arial"/>
          <w:sz w:val="24"/>
        </w:rPr>
      </w:pPr>
    </w:p>
    <w:p w:rsidR="007A6E5D" w:rsidRDefault="007A6E5D" w:rsidP="007F4DBB">
      <w:pPr>
        <w:spacing w:line="0" w:lineRule="atLeast"/>
        <w:ind w:left="6"/>
        <w:jc w:val="center"/>
        <w:rPr>
          <w:rFonts w:ascii="Arial" w:eastAsia="Arial" w:hAnsi="Arial"/>
          <w:sz w:val="24"/>
        </w:rPr>
      </w:pPr>
    </w:p>
    <w:p w:rsidR="007A6E5D" w:rsidRDefault="007A6E5D" w:rsidP="007F4DBB">
      <w:pPr>
        <w:spacing w:line="0" w:lineRule="atLeast"/>
        <w:ind w:left="6"/>
        <w:jc w:val="center"/>
        <w:rPr>
          <w:rFonts w:ascii="Arial" w:eastAsia="Arial" w:hAnsi="Arial"/>
          <w:sz w:val="24"/>
        </w:rPr>
      </w:pPr>
    </w:p>
    <w:p w:rsidR="007A6E5D" w:rsidRDefault="007A6E5D" w:rsidP="007F4DBB">
      <w:pPr>
        <w:spacing w:line="0" w:lineRule="atLeast"/>
        <w:ind w:left="6"/>
        <w:jc w:val="center"/>
        <w:rPr>
          <w:rFonts w:ascii="Arial" w:eastAsia="Arial" w:hAnsi="Arial"/>
          <w:sz w:val="24"/>
        </w:rPr>
      </w:pPr>
    </w:p>
    <w:p w:rsidR="007A6E5D" w:rsidRDefault="007A6E5D" w:rsidP="007F4DBB">
      <w:pPr>
        <w:spacing w:line="0" w:lineRule="atLeast"/>
        <w:ind w:left="6"/>
        <w:jc w:val="center"/>
        <w:rPr>
          <w:rFonts w:ascii="Arial" w:eastAsia="Arial" w:hAnsi="Arial"/>
          <w:sz w:val="24"/>
        </w:rPr>
      </w:pPr>
    </w:p>
    <w:p w:rsidR="007A6E5D" w:rsidRDefault="007A6E5D" w:rsidP="007F4DBB">
      <w:pPr>
        <w:spacing w:line="0" w:lineRule="atLeast"/>
        <w:ind w:left="6"/>
        <w:jc w:val="center"/>
        <w:rPr>
          <w:rFonts w:ascii="Arial" w:eastAsia="Arial" w:hAnsi="Arial"/>
          <w:sz w:val="24"/>
        </w:rPr>
      </w:pPr>
    </w:p>
    <w:p w:rsidR="007A6E5D" w:rsidRDefault="007A6E5D" w:rsidP="007F4DBB">
      <w:pPr>
        <w:spacing w:line="0" w:lineRule="atLeast"/>
        <w:ind w:left="6"/>
        <w:jc w:val="center"/>
        <w:rPr>
          <w:rFonts w:ascii="Arial" w:eastAsia="Arial" w:hAnsi="Arial"/>
          <w:sz w:val="24"/>
        </w:rPr>
      </w:pPr>
    </w:p>
    <w:p w:rsidR="007A6E5D" w:rsidRDefault="007A6E5D" w:rsidP="007F4DBB">
      <w:pPr>
        <w:spacing w:line="0" w:lineRule="atLeast"/>
        <w:ind w:left="6"/>
        <w:jc w:val="center"/>
        <w:rPr>
          <w:rFonts w:ascii="Arial" w:eastAsia="Arial" w:hAnsi="Arial"/>
          <w:sz w:val="24"/>
        </w:rPr>
      </w:pPr>
    </w:p>
    <w:p w:rsidR="007A6E5D" w:rsidRDefault="007A6E5D" w:rsidP="007F4DBB">
      <w:pPr>
        <w:spacing w:line="0" w:lineRule="atLeast"/>
        <w:ind w:left="6"/>
        <w:jc w:val="center"/>
        <w:rPr>
          <w:rFonts w:ascii="Arial" w:eastAsia="Arial" w:hAnsi="Arial"/>
          <w:sz w:val="24"/>
        </w:rPr>
      </w:pPr>
    </w:p>
    <w:p w:rsidR="007A6E5D" w:rsidRDefault="007A6E5D" w:rsidP="007F4DBB">
      <w:pPr>
        <w:spacing w:line="0" w:lineRule="atLeast"/>
        <w:ind w:left="6"/>
        <w:jc w:val="center"/>
        <w:rPr>
          <w:rFonts w:ascii="Arial" w:eastAsia="Arial" w:hAnsi="Arial"/>
          <w:sz w:val="24"/>
        </w:rPr>
      </w:pPr>
    </w:p>
    <w:p w:rsidR="007A6E5D" w:rsidRDefault="007A6E5D" w:rsidP="007F4DBB">
      <w:pPr>
        <w:spacing w:line="0" w:lineRule="atLeast"/>
        <w:ind w:left="6"/>
        <w:jc w:val="center"/>
        <w:rPr>
          <w:rFonts w:ascii="Arial" w:eastAsia="Arial" w:hAnsi="Arial"/>
          <w:sz w:val="24"/>
        </w:rPr>
      </w:pPr>
    </w:p>
    <w:p w:rsidR="007A6E5D" w:rsidRDefault="007A6E5D" w:rsidP="007F4DBB">
      <w:pPr>
        <w:spacing w:line="0" w:lineRule="atLeast"/>
        <w:ind w:left="6"/>
        <w:jc w:val="center"/>
        <w:rPr>
          <w:rFonts w:ascii="Arial" w:eastAsia="Arial" w:hAnsi="Arial"/>
          <w:sz w:val="24"/>
        </w:rPr>
      </w:pPr>
    </w:p>
    <w:p w:rsidR="007A6E5D" w:rsidRDefault="007A6E5D" w:rsidP="007F4DBB">
      <w:pPr>
        <w:spacing w:line="0" w:lineRule="atLeast"/>
        <w:ind w:left="6"/>
        <w:jc w:val="center"/>
        <w:rPr>
          <w:rFonts w:ascii="Arial" w:eastAsia="Arial" w:hAnsi="Arial"/>
          <w:sz w:val="24"/>
        </w:rPr>
      </w:pPr>
    </w:p>
    <w:p w:rsidR="007A6E5D" w:rsidRDefault="007A6E5D" w:rsidP="007F4DBB">
      <w:pPr>
        <w:spacing w:line="0" w:lineRule="atLeast"/>
        <w:ind w:left="6"/>
        <w:jc w:val="center"/>
        <w:rPr>
          <w:rFonts w:ascii="Arial" w:eastAsia="Arial" w:hAnsi="Arial"/>
          <w:sz w:val="24"/>
        </w:rPr>
      </w:pPr>
    </w:p>
    <w:p w:rsidR="007A6E5D" w:rsidRDefault="007A6E5D" w:rsidP="007F4DBB">
      <w:pPr>
        <w:spacing w:line="0" w:lineRule="atLeast"/>
        <w:ind w:left="6"/>
        <w:jc w:val="center"/>
        <w:rPr>
          <w:rFonts w:ascii="Arial" w:eastAsia="Arial" w:hAnsi="Arial"/>
          <w:sz w:val="24"/>
        </w:rPr>
      </w:pPr>
    </w:p>
    <w:p w:rsidR="007A6E5D" w:rsidRDefault="007A6E5D" w:rsidP="007F4DBB">
      <w:pPr>
        <w:spacing w:line="0" w:lineRule="atLeast"/>
        <w:ind w:left="6"/>
        <w:jc w:val="center"/>
        <w:rPr>
          <w:rFonts w:ascii="Arial" w:eastAsia="Arial" w:hAnsi="Arial"/>
          <w:sz w:val="24"/>
        </w:rPr>
      </w:pPr>
    </w:p>
    <w:p w:rsidR="007A6E5D" w:rsidRDefault="007A6E5D" w:rsidP="007F4DBB">
      <w:pPr>
        <w:spacing w:line="0" w:lineRule="atLeast"/>
        <w:ind w:left="6"/>
        <w:jc w:val="center"/>
        <w:rPr>
          <w:rFonts w:ascii="Arial" w:eastAsia="Arial" w:hAnsi="Arial"/>
          <w:sz w:val="24"/>
        </w:rPr>
      </w:pPr>
    </w:p>
    <w:p w:rsidR="007A6E5D" w:rsidRDefault="007A6E5D" w:rsidP="007A6E5D">
      <w:pPr>
        <w:jc w:val="center"/>
        <w:rPr>
          <w:b/>
          <w:sz w:val="28"/>
          <w:szCs w:val="28"/>
        </w:rPr>
      </w:pPr>
      <w:r>
        <w:rPr>
          <w:b/>
          <w:bCs/>
          <w:color w:val="CC3300"/>
          <w:sz w:val="60"/>
          <w:szCs w:val="60"/>
        </w:rPr>
        <w:t>Pr</w:t>
      </w:r>
      <w:r>
        <w:rPr>
          <w:rStyle w:val="branding--black"/>
          <w:b/>
          <w:bCs/>
          <w:sz w:val="60"/>
          <w:szCs w:val="60"/>
        </w:rPr>
        <w:t>o</w:t>
      </w:r>
      <w:r>
        <w:rPr>
          <w:b/>
          <w:bCs/>
          <w:color w:val="CC3300"/>
          <w:sz w:val="60"/>
          <w:szCs w:val="60"/>
        </w:rPr>
        <w:t>curement J</w:t>
      </w:r>
      <w:r>
        <w:rPr>
          <w:rStyle w:val="branding--black"/>
          <w:b/>
          <w:bCs/>
          <w:sz w:val="60"/>
          <w:szCs w:val="60"/>
        </w:rPr>
        <w:t>o</w:t>
      </w:r>
      <w:r>
        <w:rPr>
          <w:b/>
          <w:bCs/>
          <w:color w:val="CC3300"/>
          <w:sz w:val="60"/>
          <w:szCs w:val="60"/>
        </w:rPr>
        <w:t>urney</w:t>
      </w:r>
      <w:r>
        <w:rPr>
          <w:b/>
          <w:sz w:val="28"/>
          <w:szCs w:val="28"/>
        </w:rPr>
        <w:t xml:space="preserve"> </w:t>
      </w:r>
    </w:p>
    <w:p w:rsidR="007A6E5D" w:rsidRDefault="007A6E5D" w:rsidP="007A6E5D">
      <w:pPr>
        <w:jc w:val="center"/>
        <w:rPr>
          <w:b/>
          <w:sz w:val="40"/>
          <w:szCs w:val="40"/>
        </w:rPr>
      </w:pPr>
      <w:r>
        <w:rPr>
          <w:b/>
          <w:sz w:val="40"/>
          <w:szCs w:val="40"/>
        </w:rPr>
        <w:t>Flowchart</w:t>
      </w:r>
    </w:p>
    <w:p w:rsidR="00642CBE" w:rsidRDefault="00642CBE">
      <w:pPr>
        <w:rPr>
          <w:rFonts w:ascii="Arial" w:eastAsia="Arial" w:hAnsi="Arial"/>
          <w:sz w:val="24"/>
        </w:rPr>
      </w:pPr>
      <w:r>
        <w:rPr>
          <w:rFonts w:ascii="Arial" w:eastAsia="Arial" w:hAnsi="Arial"/>
          <w:sz w:val="24"/>
        </w:rPr>
        <w:br w:type="page"/>
      </w:r>
    </w:p>
    <w:p w:rsidR="007F4DBB" w:rsidRPr="00441A34" w:rsidRDefault="007F4DBB" w:rsidP="007F4DBB">
      <w:pPr>
        <w:spacing w:line="0" w:lineRule="atLeast"/>
        <w:ind w:left="6"/>
        <w:jc w:val="center"/>
        <w:rPr>
          <w:rFonts w:ascii="Arial" w:eastAsia="Arial" w:hAnsi="Arial"/>
          <w:sz w:val="24"/>
        </w:rPr>
      </w:pPr>
      <w:r w:rsidRPr="00441A34">
        <w:rPr>
          <w:rFonts w:ascii="Arial" w:eastAsia="Arial" w:hAnsi="Arial"/>
          <w:sz w:val="24"/>
        </w:rPr>
        <w:lastRenderedPageBreak/>
        <w:t>FLOWCHART TO HELP DECISION MAKING FOR THE CONTINUATION OF AN EXISTING SERVICE</w:t>
      </w:r>
    </w:p>
    <w:p w:rsidR="007F4DBB" w:rsidRPr="00441A34" w:rsidRDefault="007A6E5D" w:rsidP="007F4DBB">
      <w:pPr>
        <w:spacing w:line="376" w:lineRule="exact"/>
        <w:rPr>
          <w:rFonts w:ascii="Arial" w:eastAsia="Times New Roman" w:hAnsi="Arial"/>
        </w:rPr>
      </w:pPr>
      <w:r w:rsidRPr="00441A34">
        <w:rPr>
          <w:rFonts w:ascii="Arial" w:eastAsia="Arial" w:hAnsi="Arial"/>
          <w:noProof/>
          <w:sz w:val="24"/>
        </w:rPr>
        <mc:AlternateContent>
          <mc:Choice Requires="wps">
            <w:drawing>
              <wp:anchor distT="0" distB="0" distL="114300" distR="114300" simplePos="0" relativeHeight="251666432" behindDoc="0" locked="0" layoutInCell="1" allowOverlap="1" wp14:anchorId="09E3B3D0" wp14:editId="7F75DBFF">
                <wp:simplePos x="0" y="0"/>
                <wp:positionH relativeFrom="column">
                  <wp:posOffset>714375</wp:posOffset>
                </wp:positionH>
                <wp:positionV relativeFrom="paragraph">
                  <wp:posOffset>85725</wp:posOffset>
                </wp:positionV>
                <wp:extent cx="4705350" cy="22955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4705350" cy="229552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A607C" id="Rectangle 9" o:spid="_x0000_s1026" style="position:absolute;margin-left:56.25pt;margin-top:6.75pt;width:370.5pt;height:1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" filled="f" strokecolor="#243f60 [1604]" strokeweight="1.5pt"/>
            </w:pict>
          </mc:Fallback>
        </mc:AlternateContent>
      </w:r>
      <w:r w:rsidR="007F4DBB" w:rsidRPr="00441A34">
        <w:rPr>
          <w:rFonts w:ascii="Arial" w:eastAsia="Arial" w:hAnsi="Arial"/>
          <w:noProof/>
          <w:sz w:val="24"/>
        </w:rPr>
        <mc:AlternateContent>
          <mc:Choice Requires="wps">
            <w:drawing>
              <wp:anchor distT="0" distB="0" distL="114300" distR="114300" simplePos="0" relativeHeight="251659264" behindDoc="1" locked="0" layoutInCell="0" allowOverlap="1" wp14:anchorId="6785B0A2" wp14:editId="0ED61F61">
                <wp:simplePos x="0" y="0"/>
                <wp:positionH relativeFrom="column">
                  <wp:posOffset>5420360</wp:posOffset>
                </wp:positionH>
                <wp:positionV relativeFrom="paragraph">
                  <wp:posOffset>141605</wp:posOffset>
                </wp:positionV>
                <wp:extent cx="0" cy="1852295"/>
                <wp:effectExtent l="6350" t="6350" r="12700" b="82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2295"/>
                        </a:xfrm>
                        <a:prstGeom prst="line">
                          <a:avLst/>
                        </a:prstGeom>
                        <a:noFill/>
                        <a:ln w="12700">
                          <a:solidFill>
                            <a:srgbClr val="0041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1F107" id="Straight Connector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8pt,11.15pt" to="426.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" o:allowincell="f" strokecolor="#004198" strokeweight="1pt"/>
            </w:pict>
          </mc:Fallback>
        </mc:AlternateContent>
      </w:r>
      <w:r w:rsidR="007F4DBB" w:rsidRPr="00441A34">
        <w:rPr>
          <w:rFonts w:ascii="Arial" w:eastAsia="Arial" w:hAnsi="Arial"/>
          <w:noProof/>
          <w:sz w:val="24"/>
        </w:rPr>
        <mc:AlternateContent>
          <mc:Choice Requires="wps">
            <w:drawing>
              <wp:anchor distT="0" distB="0" distL="114300" distR="114300" simplePos="0" relativeHeight="251661312" behindDoc="1" locked="0" layoutInCell="0" allowOverlap="1" wp14:anchorId="477E8EA0" wp14:editId="5D32676A">
                <wp:simplePos x="0" y="0"/>
                <wp:positionH relativeFrom="column">
                  <wp:posOffset>716915</wp:posOffset>
                </wp:positionH>
                <wp:positionV relativeFrom="paragraph">
                  <wp:posOffset>141605</wp:posOffset>
                </wp:positionV>
                <wp:extent cx="0" cy="1852295"/>
                <wp:effectExtent l="8255" t="6350" r="10795"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2295"/>
                        </a:xfrm>
                        <a:prstGeom prst="line">
                          <a:avLst/>
                        </a:prstGeom>
                        <a:noFill/>
                        <a:ln w="12700">
                          <a:solidFill>
                            <a:srgbClr val="0041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D3E4E" id="Straight Connector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5pt,11.15pt" to="56.4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" o:allowincell="f" strokecolor="#004198" strokeweight="1pt"/>
            </w:pict>
          </mc:Fallback>
        </mc:AlternateContent>
      </w:r>
    </w:p>
    <w:p w:rsidR="007F4DBB" w:rsidRPr="00441A34" w:rsidRDefault="007F4DBB" w:rsidP="007F4DBB">
      <w:pPr>
        <w:numPr>
          <w:ilvl w:val="0"/>
          <w:numId w:val="5"/>
        </w:numPr>
        <w:tabs>
          <w:tab w:val="left" w:pos="1546"/>
        </w:tabs>
        <w:spacing w:line="269" w:lineRule="auto"/>
        <w:ind w:left="1546" w:right="1640" w:hanging="236"/>
        <w:rPr>
          <w:rFonts w:ascii="Arial" w:eastAsia="Arial" w:hAnsi="Arial"/>
          <w:sz w:val="18"/>
        </w:rPr>
      </w:pPr>
      <w:r w:rsidRPr="00441A34">
        <w:rPr>
          <w:rFonts w:ascii="Arial" w:eastAsia="Arial" w:hAnsi="Arial"/>
          <w:sz w:val="18"/>
        </w:rPr>
        <w:t>Analyse individual needs and intended outcomes to determine the type of service required and evaluate the existing arrangements for delivering the service.</w:t>
      </w:r>
    </w:p>
    <w:p w:rsidR="007F4DBB" w:rsidRPr="00441A34" w:rsidRDefault="007F4DBB" w:rsidP="007F4DBB">
      <w:pPr>
        <w:spacing w:line="297" w:lineRule="exact"/>
        <w:rPr>
          <w:rFonts w:ascii="Arial" w:eastAsia="Times New Roman" w:hAnsi="Arial"/>
        </w:rPr>
      </w:pPr>
    </w:p>
    <w:p w:rsidR="007F4DBB" w:rsidRPr="00441A34" w:rsidRDefault="007F4DBB" w:rsidP="007F4DBB">
      <w:pPr>
        <w:numPr>
          <w:ilvl w:val="0"/>
          <w:numId w:val="6"/>
        </w:numPr>
        <w:tabs>
          <w:tab w:val="left" w:pos="1546"/>
        </w:tabs>
        <w:spacing w:line="274" w:lineRule="auto"/>
        <w:ind w:left="1546" w:right="1400" w:hanging="236"/>
        <w:rPr>
          <w:rFonts w:ascii="Arial" w:eastAsia="Arial" w:hAnsi="Arial"/>
          <w:sz w:val="18"/>
        </w:rPr>
      </w:pPr>
      <w:r w:rsidRPr="00441A34">
        <w:rPr>
          <w:rFonts w:ascii="Arial" w:eastAsia="Arial" w:hAnsi="Arial"/>
          <w:sz w:val="18"/>
        </w:rPr>
        <w:t>Involve people who use services and carers in defining their needs and desired outcomes and get their views on service improvement and continuity.</w:t>
      </w:r>
    </w:p>
    <w:p w:rsidR="007F4DBB" w:rsidRPr="00441A34" w:rsidRDefault="007F4DBB" w:rsidP="007F4DBB">
      <w:pPr>
        <w:spacing w:line="72" w:lineRule="exact"/>
        <w:rPr>
          <w:rFonts w:ascii="Arial" w:eastAsia="Arial" w:hAnsi="Arial"/>
          <w:sz w:val="18"/>
        </w:rPr>
      </w:pPr>
    </w:p>
    <w:p w:rsidR="007F4DBB" w:rsidRPr="00441A34" w:rsidRDefault="007F4DBB" w:rsidP="007F4DBB">
      <w:pPr>
        <w:numPr>
          <w:ilvl w:val="0"/>
          <w:numId w:val="6"/>
        </w:numPr>
        <w:tabs>
          <w:tab w:val="left" w:pos="1546"/>
        </w:tabs>
        <w:spacing w:line="262" w:lineRule="auto"/>
        <w:ind w:left="1546" w:right="1600" w:hanging="236"/>
        <w:rPr>
          <w:rFonts w:ascii="Arial" w:eastAsia="Arial" w:hAnsi="Arial"/>
          <w:sz w:val="18"/>
        </w:rPr>
      </w:pPr>
      <w:r w:rsidRPr="00441A34">
        <w:rPr>
          <w:rFonts w:ascii="Arial" w:eastAsia="Arial" w:hAnsi="Arial"/>
          <w:sz w:val="18"/>
        </w:rPr>
        <w:t>Review information from people who use services and carers, contract management and service review, regulatory bodies and commissioning strategies to evaluate existing arrangements against best value principles.</w:t>
      </w:r>
    </w:p>
    <w:p w:rsidR="007F4DBB" w:rsidRPr="00441A34" w:rsidRDefault="007F4DBB" w:rsidP="007F4DBB">
      <w:pPr>
        <w:spacing w:line="83" w:lineRule="exact"/>
        <w:rPr>
          <w:rFonts w:ascii="Arial" w:eastAsia="Arial" w:hAnsi="Arial"/>
          <w:sz w:val="18"/>
        </w:rPr>
      </w:pPr>
    </w:p>
    <w:p w:rsidR="007F4DBB" w:rsidRPr="00441A34" w:rsidRDefault="007F4DBB" w:rsidP="007F4DBB">
      <w:pPr>
        <w:numPr>
          <w:ilvl w:val="0"/>
          <w:numId w:val="6"/>
        </w:numPr>
        <w:tabs>
          <w:tab w:val="left" w:pos="1546"/>
        </w:tabs>
        <w:spacing w:line="0" w:lineRule="atLeast"/>
        <w:ind w:left="1546" w:hanging="236"/>
        <w:jc w:val="both"/>
        <w:rPr>
          <w:rFonts w:ascii="Arial" w:eastAsia="Arial" w:hAnsi="Arial"/>
          <w:sz w:val="18"/>
        </w:rPr>
      </w:pPr>
      <w:r w:rsidRPr="00441A34">
        <w:rPr>
          <w:rFonts w:ascii="Arial" w:eastAsia="Arial" w:hAnsi="Arial"/>
          <w:sz w:val="18"/>
        </w:rPr>
        <w:t>Assess the needs for improvement and service continuity.</w:t>
      </w:r>
    </w:p>
    <w:p w:rsidR="007F4DBB" w:rsidRPr="00441A34" w:rsidRDefault="007F4DBB" w:rsidP="007F4DBB">
      <w:pPr>
        <w:spacing w:line="122" w:lineRule="exact"/>
        <w:rPr>
          <w:rFonts w:ascii="Arial" w:eastAsia="Arial" w:hAnsi="Arial"/>
          <w:sz w:val="18"/>
        </w:rPr>
      </w:pPr>
    </w:p>
    <w:p w:rsidR="007F4DBB" w:rsidRPr="00441A34" w:rsidRDefault="007F4DBB" w:rsidP="007F4DBB">
      <w:pPr>
        <w:numPr>
          <w:ilvl w:val="0"/>
          <w:numId w:val="6"/>
        </w:numPr>
        <w:tabs>
          <w:tab w:val="left" w:pos="1546"/>
        </w:tabs>
        <w:spacing w:line="0" w:lineRule="atLeast"/>
        <w:ind w:left="1546" w:hanging="236"/>
        <w:jc w:val="both"/>
        <w:rPr>
          <w:rFonts w:ascii="Arial" w:eastAsia="Arial" w:hAnsi="Arial"/>
          <w:sz w:val="18"/>
        </w:rPr>
      </w:pPr>
      <w:r w:rsidRPr="00441A34">
        <w:rPr>
          <w:rFonts w:ascii="Arial" w:eastAsia="Arial" w:hAnsi="Arial"/>
          <w:sz w:val="18"/>
        </w:rPr>
        <w:t>Consider available resources.</w:t>
      </w:r>
    </w:p>
    <w:p w:rsidR="007F4DBB" w:rsidRPr="00441A34" w:rsidRDefault="007F4DBB" w:rsidP="007F4DBB">
      <w:pPr>
        <w:spacing w:line="200" w:lineRule="exact"/>
        <w:rPr>
          <w:rFonts w:ascii="Arial" w:eastAsia="Times New Roman" w:hAnsi="Arial"/>
        </w:rPr>
      </w:pPr>
      <w:r w:rsidRPr="00441A34">
        <w:rPr>
          <w:rFonts w:ascii="Arial" w:eastAsia="Arial" w:hAnsi="Arial"/>
          <w:noProof/>
          <w:sz w:val="18"/>
        </w:rPr>
        <w:drawing>
          <wp:anchor distT="0" distB="0" distL="114300" distR="114300" simplePos="0" relativeHeight="251663360" behindDoc="1" locked="0" layoutInCell="0" allowOverlap="1" wp14:anchorId="71B63ECC" wp14:editId="77940A86">
            <wp:simplePos x="0" y="0"/>
            <wp:positionH relativeFrom="column">
              <wp:posOffset>711200</wp:posOffset>
            </wp:positionH>
            <wp:positionV relativeFrom="paragraph">
              <wp:posOffset>102235</wp:posOffset>
            </wp:positionV>
            <wp:extent cx="4716145" cy="2720975"/>
            <wp:effectExtent l="0" t="0" r="825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6145" cy="2720975"/>
                    </a:xfrm>
                    <a:prstGeom prst="rect">
                      <a:avLst/>
                    </a:prstGeom>
                    <a:noFill/>
                  </pic:spPr>
                </pic:pic>
              </a:graphicData>
            </a:graphic>
            <wp14:sizeRelH relativeFrom="page">
              <wp14:pctWidth>0</wp14:pctWidth>
            </wp14:sizeRelH>
            <wp14:sizeRelV relativeFrom="page">
              <wp14:pctHeight>0</wp14:pctHeight>
            </wp14:sizeRelV>
          </wp:anchor>
        </w:drawing>
      </w:r>
    </w:p>
    <w:p w:rsidR="007F4DBB" w:rsidRPr="00441A34" w:rsidRDefault="007F4DBB" w:rsidP="007F4DBB">
      <w:pPr>
        <w:spacing w:line="200" w:lineRule="exact"/>
        <w:rPr>
          <w:rFonts w:ascii="Arial" w:eastAsia="Times New Roman" w:hAnsi="Arial"/>
        </w:rPr>
      </w:pPr>
    </w:p>
    <w:p w:rsidR="007F4DBB" w:rsidRPr="00441A34" w:rsidRDefault="007F4DBB" w:rsidP="007F4DBB">
      <w:pPr>
        <w:spacing w:line="300" w:lineRule="exact"/>
        <w:rPr>
          <w:rFonts w:ascii="Arial" w:eastAsia="Times New Roman" w:hAnsi="Arial"/>
        </w:rPr>
      </w:pPr>
    </w:p>
    <w:p w:rsidR="007F4DBB" w:rsidRPr="00441A34" w:rsidRDefault="007F4DBB" w:rsidP="007F4DBB">
      <w:pPr>
        <w:spacing w:line="0" w:lineRule="atLeast"/>
        <w:ind w:left="1306"/>
        <w:rPr>
          <w:rFonts w:ascii="Arial" w:eastAsia="Arial" w:hAnsi="Arial"/>
          <w:sz w:val="18"/>
        </w:rPr>
      </w:pPr>
      <w:r w:rsidRPr="00441A34">
        <w:rPr>
          <w:rFonts w:ascii="Arial" w:eastAsia="Arial" w:hAnsi="Arial"/>
          <w:sz w:val="18"/>
        </w:rPr>
        <w:t>2. Consider the options for delivering the service.</w:t>
      </w:r>
    </w:p>
    <w:p w:rsidR="007F4DBB" w:rsidRPr="00441A34" w:rsidRDefault="007F4DBB" w:rsidP="007F4DBB">
      <w:pPr>
        <w:spacing w:line="122" w:lineRule="exact"/>
        <w:rPr>
          <w:rFonts w:ascii="Arial" w:eastAsia="Times New Roman" w:hAnsi="Arial"/>
        </w:rPr>
      </w:pPr>
    </w:p>
    <w:p w:rsidR="007F4DBB" w:rsidRPr="00441A34" w:rsidRDefault="007F4DBB" w:rsidP="007F4DBB">
      <w:pPr>
        <w:numPr>
          <w:ilvl w:val="0"/>
          <w:numId w:val="7"/>
        </w:numPr>
        <w:tabs>
          <w:tab w:val="left" w:pos="1546"/>
        </w:tabs>
        <w:spacing w:line="274" w:lineRule="auto"/>
        <w:ind w:left="1546" w:right="1960" w:hanging="236"/>
        <w:jc w:val="both"/>
        <w:rPr>
          <w:rFonts w:ascii="Arial" w:eastAsia="Arial" w:hAnsi="Arial"/>
          <w:sz w:val="18"/>
        </w:rPr>
      </w:pPr>
      <w:r w:rsidRPr="00441A34">
        <w:rPr>
          <w:rFonts w:ascii="Arial" w:eastAsia="Arial" w:hAnsi="Arial"/>
          <w:sz w:val="18"/>
        </w:rPr>
        <w:t>Should the service be provided by means of another arrangement, for example in house?</w:t>
      </w:r>
    </w:p>
    <w:p w:rsidR="007F4DBB" w:rsidRPr="00441A34" w:rsidRDefault="007F4DBB" w:rsidP="007F4DBB">
      <w:pPr>
        <w:spacing w:line="200" w:lineRule="exact"/>
        <w:rPr>
          <w:rFonts w:ascii="Arial" w:eastAsia="Times New Roman" w:hAnsi="Arial"/>
        </w:rPr>
      </w:pPr>
    </w:p>
    <w:p w:rsidR="007F4DBB" w:rsidRPr="00441A34" w:rsidRDefault="007F4DBB" w:rsidP="007F4DBB">
      <w:pPr>
        <w:spacing w:line="200" w:lineRule="exact"/>
        <w:rPr>
          <w:rFonts w:ascii="Arial" w:eastAsia="Times New Roman" w:hAnsi="Arial"/>
        </w:rPr>
      </w:pPr>
    </w:p>
    <w:p w:rsidR="007F4DBB" w:rsidRPr="00441A34" w:rsidRDefault="007F4DBB" w:rsidP="007F4DBB">
      <w:pPr>
        <w:spacing w:line="324" w:lineRule="exact"/>
        <w:rPr>
          <w:rFonts w:ascii="Arial" w:eastAsia="Times New Roman" w:hAnsi="Arial"/>
        </w:rPr>
      </w:pPr>
    </w:p>
    <w:p w:rsidR="007F4DBB" w:rsidRPr="00441A34" w:rsidRDefault="007F4DBB" w:rsidP="007F4DBB">
      <w:pPr>
        <w:numPr>
          <w:ilvl w:val="0"/>
          <w:numId w:val="8"/>
        </w:numPr>
        <w:tabs>
          <w:tab w:val="left" w:pos="1546"/>
        </w:tabs>
        <w:spacing w:line="274" w:lineRule="auto"/>
        <w:ind w:left="1546" w:right="1460" w:hanging="236"/>
        <w:jc w:val="both"/>
        <w:rPr>
          <w:rFonts w:ascii="Arial" w:eastAsia="Arial" w:hAnsi="Arial"/>
          <w:sz w:val="18"/>
        </w:rPr>
      </w:pPr>
      <w:r w:rsidRPr="00441A34">
        <w:rPr>
          <w:rFonts w:ascii="Arial" w:eastAsia="Arial" w:hAnsi="Arial"/>
          <w:sz w:val="18"/>
        </w:rPr>
        <w:t xml:space="preserve">Consider whether the </w:t>
      </w:r>
      <w:proofErr w:type="spellStart"/>
      <w:r w:rsidRPr="00441A34">
        <w:rPr>
          <w:rFonts w:ascii="Arial" w:eastAsia="Arial" w:hAnsi="Arial"/>
          <w:sz w:val="18"/>
        </w:rPr>
        <w:t>TFEU</w:t>
      </w:r>
      <w:proofErr w:type="spellEnd"/>
      <w:r w:rsidRPr="00441A34">
        <w:rPr>
          <w:rFonts w:ascii="Arial" w:eastAsia="Arial" w:hAnsi="Arial"/>
          <w:sz w:val="18"/>
        </w:rPr>
        <w:t xml:space="preserve"> fundamental principles and relevant legislation may require the contract to be advertised and awarded by competition.</w:t>
      </w:r>
    </w:p>
    <w:p w:rsidR="007F4DBB" w:rsidRPr="00441A34" w:rsidRDefault="007F4DBB" w:rsidP="007F4DBB">
      <w:pPr>
        <w:spacing w:line="73" w:lineRule="exact"/>
        <w:rPr>
          <w:rFonts w:ascii="Arial" w:eastAsia="Times New Roman" w:hAnsi="Arial"/>
        </w:rPr>
      </w:pPr>
    </w:p>
    <w:p w:rsidR="007F4DBB" w:rsidRPr="00441A34" w:rsidRDefault="007F4DBB" w:rsidP="007F4DBB">
      <w:pPr>
        <w:numPr>
          <w:ilvl w:val="0"/>
          <w:numId w:val="9"/>
        </w:numPr>
        <w:tabs>
          <w:tab w:val="left" w:pos="1546"/>
        </w:tabs>
        <w:spacing w:line="274" w:lineRule="auto"/>
        <w:ind w:left="1546" w:right="1740" w:hanging="236"/>
        <w:jc w:val="both"/>
        <w:rPr>
          <w:rFonts w:ascii="Arial" w:eastAsia="Arial" w:hAnsi="Arial"/>
          <w:sz w:val="18"/>
        </w:rPr>
      </w:pPr>
      <w:r w:rsidRPr="00441A34">
        <w:rPr>
          <w:rFonts w:ascii="Arial" w:eastAsia="Arial" w:hAnsi="Arial"/>
          <w:sz w:val="18"/>
        </w:rPr>
        <w:t>Is it possible to demonstrate that the contract is of no interest to service providers located in other member states?</w:t>
      </w:r>
    </w:p>
    <w:p w:rsidR="007F4DBB" w:rsidRPr="00441A34" w:rsidRDefault="007F4DBB" w:rsidP="007F4DBB">
      <w:pPr>
        <w:spacing w:line="72" w:lineRule="exact"/>
        <w:rPr>
          <w:rFonts w:ascii="Arial" w:eastAsia="Arial" w:hAnsi="Arial"/>
          <w:sz w:val="18"/>
        </w:rPr>
      </w:pPr>
    </w:p>
    <w:p w:rsidR="007F4DBB" w:rsidRPr="00441A34" w:rsidRDefault="007F4DBB" w:rsidP="007F4DBB">
      <w:pPr>
        <w:numPr>
          <w:ilvl w:val="0"/>
          <w:numId w:val="9"/>
        </w:numPr>
        <w:tabs>
          <w:tab w:val="left" w:pos="1546"/>
        </w:tabs>
        <w:spacing w:line="274" w:lineRule="auto"/>
        <w:ind w:left="1546" w:right="1520" w:hanging="236"/>
        <w:jc w:val="both"/>
        <w:rPr>
          <w:rFonts w:ascii="Arial" w:eastAsia="Arial" w:hAnsi="Arial"/>
          <w:sz w:val="18"/>
        </w:rPr>
      </w:pPr>
      <w:r w:rsidRPr="00441A34">
        <w:rPr>
          <w:rFonts w:ascii="Arial" w:eastAsia="Arial" w:hAnsi="Arial"/>
          <w:sz w:val="18"/>
        </w:rPr>
        <w:t>Is the total sum to be paid under the contract so low that service providers located in other Member States would not be interested in the contract?</w:t>
      </w:r>
    </w:p>
    <w:p w:rsidR="007F4DBB" w:rsidRPr="00441A34" w:rsidRDefault="007F4DBB" w:rsidP="007F4DBB">
      <w:pPr>
        <w:spacing w:line="72" w:lineRule="exact"/>
        <w:rPr>
          <w:rFonts w:ascii="Arial" w:eastAsia="Arial" w:hAnsi="Arial"/>
          <w:sz w:val="18"/>
        </w:rPr>
      </w:pPr>
    </w:p>
    <w:p w:rsidR="007F4DBB" w:rsidRPr="00441A34" w:rsidRDefault="007F4DBB" w:rsidP="007F4DBB">
      <w:pPr>
        <w:numPr>
          <w:ilvl w:val="0"/>
          <w:numId w:val="9"/>
        </w:numPr>
        <w:tabs>
          <w:tab w:val="left" w:pos="1546"/>
        </w:tabs>
        <w:spacing w:line="274" w:lineRule="auto"/>
        <w:ind w:left="1546" w:right="1680" w:hanging="236"/>
        <w:jc w:val="both"/>
        <w:rPr>
          <w:rFonts w:ascii="Arial" w:eastAsia="Arial" w:hAnsi="Arial"/>
          <w:sz w:val="18"/>
        </w:rPr>
      </w:pPr>
      <w:r w:rsidRPr="00441A34">
        <w:rPr>
          <w:rFonts w:ascii="Arial" w:eastAsia="Arial" w:hAnsi="Arial"/>
          <w:sz w:val="18"/>
        </w:rPr>
        <w:t>Is the service of such a specialised nature that no-cross border market of suitable service providers exists?</w:t>
      </w:r>
    </w:p>
    <w:p w:rsidR="007F4DBB" w:rsidRPr="00441A34" w:rsidRDefault="007F4DBB" w:rsidP="007F4DBB">
      <w:pPr>
        <w:spacing w:line="200" w:lineRule="exact"/>
        <w:rPr>
          <w:rFonts w:ascii="Arial" w:eastAsia="Times New Roman" w:hAnsi="Arial"/>
        </w:rPr>
      </w:pPr>
      <w:r w:rsidRPr="00441A34">
        <w:rPr>
          <w:rFonts w:ascii="Arial" w:eastAsia="Arial" w:hAnsi="Arial"/>
          <w:noProof/>
          <w:sz w:val="18"/>
        </w:rPr>
        <w:drawing>
          <wp:anchor distT="0" distB="0" distL="114300" distR="114300" simplePos="0" relativeHeight="251664384" behindDoc="1" locked="0" layoutInCell="0" allowOverlap="1" wp14:anchorId="05649E9C" wp14:editId="002577C1">
            <wp:simplePos x="0" y="0"/>
            <wp:positionH relativeFrom="column">
              <wp:posOffset>711200</wp:posOffset>
            </wp:positionH>
            <wp:positionV relativeFrom="paragraph">
              <wp:posOffset>70485</wp:posOffset>
            </wp:positionV>
            <wp:extent cx="4716145" cy="71120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6145" cy="711200"/>
                    </a:xfrm>
                    <a:prstGeom prst="rect">
                      <a:avLst/>
                    </a:prstGeom>
                    <a:noFill/>
                  </pic:spPr>
                </pic:pic>
              </a:graphicData>
            </a:graphic>
            <wp14:sizeRelH relativeFrom="page">
              <wp14:pctWidth>0</wp14:pctWidth>
            </wp14:sizeRelH>
            <wp14:sizeRelV relativeFrom="page">
              <wp14:pctHeight>0</wp14:pctHeight>
            </wp14:sizeRelV>
          </wp:anchor>
        </w:drawing>
      </w:r>
    </w:p>
    <w:p w:rsidR="007F4DBB" w:rsidRPr="00441A34" w:rsidRDefault="007F4DBB" w:rsidP="007F4DBB">
      <w:pPr>
        <w:spacing w:line="200" w:lineRule="exact"/>
        <w:rPr>
          <w:rFonts w:ascii="Arial" w:eastAsia="Times New Roman" w:hAnsi="Arial"/>
        </w:rPr>
      </w:pPr>
    </w:p>
    <w:p w:rsidR="007F4DBB" w:rsidRPr="00441A34" w:rsidRDefault="007F4DBB" w:rsidP="007F4DBB">
      <w:pPr>
        <w:spacing w:line="247" w:lineRule="exact"/>
        <w:rPr>
          <w:rFonts w:ascii="Arial" w:eastAsia="Times New Roman" w:hAnsi="Arial"/>
        </w:rPr>
      </w:pPr>
    </w:p>
    <w:p w:rsidR="007F4DBB" w:rsidRPr="00441A34" w:rsidRDefault="007F4DBB" w:rsidP="007F4DBB">
      <w:pPr>
        <w:numPr>
          <w:ilvl w:val="0"/>
          <w:numId w:val="10"/>
        </w:numPr>
        <w:tabs>
          <w:tab w:val="left" w:pos="1546"/>
        </w:tabs>
        <w:spacing w:line="274" w:lineRule="auto"/>
        <w:ind w:left="1546" w:right="2060" w:hanging="236"/>
        <w:jc w:val="both"/>
        <w:rPr>
          <w:rFonts w:ascii="Arial" w:eastAsia="Arial" w:hAnsi="Arial"/>
          <w:sz w:val="18"/>
        </w:rPr>
      </w:pPr>
      <w:r w:rsidRPr="00441A34">
        <w:rPr>
          <w:rFonts w:ascii="Arial" w:eastAsia="Arial" w:hAnsi="Arial"/>
          <w:sz w:val="18"/>
        </w:rPr>
        <w:t>Do regulations and standing orders allow the contract to be awarded without competition.</w:t>
      </w:r>
    </w:p>
    <w:p w:rsidR="007F4DBB" w:rsidRPr="00441A34" w:rsidRDefault="007F4DBB" w:rsidP="007F4DBB">
      <w:pPr>
        <w:spacing w:line="200" w:lineRule="exact"/>
        <w:rPr>
          <w:rFonts w:ascii="Arial" w:eastAsia="Arial" w:hAnsi="Arial"/>
          <w:sz w:val="18"/>
        </w:rPr>
      </w:pPr>
      <w:r w:rsidRPr="00441A34">
        <w:rPr>
          <w:rFonts w:ascii="Arial" w:eastAsia="Arial" w:hAnsi="Arial"/>
          <w:noProof/>
          <w:sz w:val="18"/>
        </w:rPr>
        <w:drawing>
          <wp:anchor distT="0" distB="0" distL="114300" distR="114300" simplePos="0" relativeHeight="251665408" behindDoc="1" locked="0" layoutInCell="0" allowOverlap="1" wp14:anchorId="386FD99E" wp14:editId="35FC4636">
            <wp:simplePos x="0" y="0"/>
            <wp:positionH relativeFrom="column">
              <wp:posOffset>714375</wp:posOffset>
            </wp:positionH>
            <wp:positionV relativeFrom="paragraph">
              <wp:posOffset>74930</wp:posOffset>
            </wp:positionV>
            <wp:extent cx="4714875" cy="14382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4875" cy="1438275"/>
                    </a:xfrm>
                    <a:prstGeom prst="rect">
                      <a:avLst/>
                    </a:prstGeom>
                    <a:noFill/>
                  </pic:spPr>
                </pic:pic>
              </a:graphicData>
            </a:graphic>
            <wp14:sizeRelH relativeFrom="page">
              <wp14:pctWidth>0</wp14:pctWidth>
            </wp14:sizeRelH>
            <wp14:sizeRelV relativeFrom="page">
              <wp14:pctHeight>0</wp14:pctHeight>
            </wp14:sizeRelV>
          </wp:anchor>
        </w:drawing>
      </w:r>
    </w:p>
    <w:p w:rsidR="007F4DBB" w:rsidRPr="00441A34" w:rsidRDefault="007F4DBB" w:rsidP="007F4DBB">
      <w:pPr>
        <w:spacing w:line="200" w:lineRule="exact"/>
        <w:rPr>
          <w:rFonts w:ascii="Arial" w:eastAsia="Arial" w:hAnsi="Arial"/>
          <w:sz w:val="18"/>
        </w:rPr>
      </w:pPr>
    </w:p>
    <w:p w:rsidR="007F4DBB" w:rsidRPr="00441A34" w:rsidRDefault="007F4DBB" w:rsidP="007F4DBB">
      <w:pPr>
        <w:spacing w:line="250" w:lineRule="exact"/>
        <w:rPr>
          <w:rFonts w:ascii="Arial" w:eastAsia="Arial" w:hAnsi="Arial"/>
          <w:sz w:val="18"/>
        </w:rPr>
      </w:pPr>
    </w:p>
    <w:p w:rsidR="007F4DBB" w:rsidRPr="00441A34" w:rsidRDefault="007F4DBB" w:rsidP="007F4DBB">
      <w:pPr>
        <w:numPr>
          <w:ilvl w:val="0"/>
          <w:numId w:val="10"/>
        </w:numPr>
        <w:tabs>
          <w:tab w:val="left" w:pos="1546"/>
        </w:tabs>
        <w:spacing w:line="274" w:lineRule="auto"/>
        <w:ind w:left="1546" w:right="1420" w:hanging="236"/>
        <w:jc w:val="both"/>
        <w:rPr>
          <w:rFonts w:ascii="Arial" w:eastAsia="Arial" w:hAnsi="Arial"/>
          <w:sz w:val="18"/>
        </w:rPr>
      </w:pPr>
      <w:r w:rsidRPr="00441A34">
        <w:rPr>
          <w:rFonts w:ascii="Arial" w:eastAsia="Arial" w:hAnsi="Arial"/>
          <w:sz w:val="18"/>
        </w:rPr>
        <w:t>Does analysis of the benefits and risks to service users and service delivery suggest that the contract should be renewed without competition.</w:t>
      </w:r>
    </w:p>
    <w:p w:rsidR="007F4DBB" w:rsidRPr="00441A34" w:rsidRDefault="007F4DBB" w:rsidP="007F4DBB">
      <w:pPr>
        <w:spacing w:line="73" w:lineRule="exact"/>
        <w:rPr>
          <w:rFonts w:ascii="Arial" w:eastAsia="Times New Roman" w:hAnsi="Arial"/>
        </w:rPr>
      </w:pPr>
    </w:p>
    <w:p w:rsidR="007F4DBB" w:rsidRPr="00441A34" w:rsidRDefault="007F4DBB" w:rsidP="007F4DBB">
      <w:pPr>
        <w:numPr>
          <w:ilvl w:val="0"/>
          <w:numId w:val="11"/>
        </w:numPr>
        <w:tabs>
          <w:tab w:val="left" w:pos="1546"/>
        </w:tabs>
        <w:spacing w:line="258" w:lineRule="auto"/>
        <w:ind w:left="1546" w:right="1360" w:hanging="236"/>
        <w:rPr>
          <w:rFonts w:ascii="Arial" w:eastAsia="Arial" w:hAnsi="Arial"/>
          <w:sz w:val="18"/>
        </w:rPr>
      </w:pPr>
      <w:r w:rsidRPr="00441A34">
        <w:rPr>
          <w:rFonts w:ascii="Arial" w:eastAsia="Arial" w:hAnsi="Arial"/>
          <w:sz w:val="18"/>
        </w:rPr>
        <w:t>Does consideration of the impact that a change in service provision or provider will have on people who use services and carers, continuity or service, regulatory requirements, the quality and cost of the service, the market and the workforce suggest that the contract should be renewed without competition?</w:t>
      </w:r>
    </w:p>
    <w:p w:rsidR="007F4DBB" w:rsidRPr="00441A34" w:rsidRDefault="007F4DBB" w:rsidP="007F4DBB">
      <w:pPr>
        <w:spacing w:line="314" w:lineRule="exact"/>
        <w:rPr>
          <w:rFonts w:ascii="Arial" w:eastAsia="Times New Roman" w:hAnsi="Arial"/>
        </w:rPr>
      </w:pPr>
    </w:p>
    <w:p w:rsidR="007F4DBB" w:rsidRPr="00441A34" w:rsidRDefault="007F4DBB" w:rsidP="007F4DBB">
      <w:pPr>
        <w:spacing w:line="0" w:lineRule="atLeast"/>
        <w:ind w:left="6"/>
        <w:rPr>
          <w:rFonts w:ascii="Arial" w:eastAsia="Arial" w:hAnsi="Arial"/>
          <w:sz w:val="16"/>
        </w:rPr>
      </w:pPr>
      <w:r w:rsidRPr="00441A34">
        <w:rPr>
          <w:rFonts w:ascii="Arial" w:eastAsia="Arial" w:hAnsi="Arial"/>
          <w:sz w:val="16"/>
        </w:rPr>
        <w:t>*</w:t>
      </w:r>
    </w:p>
    <w:p w:rsidR="007F4DBB" w:rsidRPr="00441A34" w:rsidRDefault="007F4DBB" w:rsidP="007F4DBB">
      <w:pPr>
        <w:spacing w:line="8" w:lineRule="exact"/>
        <w:rPr>
          <w:rFonts w:ascii="Arial" w:eastAsia="Times New Roman" w:hAnsi="Arial"/>
        </w:rPr>
      </w:pPr>
    </w:p>
    <w:p w:rsidR="007F4DBB" w:rsidRPr="00441A34" w:rsidRDefault="007F4DBB" w:rsidP="007F4DBB">
      <w:pPr>
        <w:numPr>
          <w:ilvl w:val="0"/>
          <w:numId w:val="12"/>
        </w:numPr>
        <w:tabs>
          <w:tab w:val="left" w:pos="106"/>
        </w:tabs>
        <w:spacing w:line="250" w:lineRule="auto"/>
        <w:ind w:left="106" w:hanging="106"/>
        <w:jc w:val="both"/>
        <w:rPr>
          <w:rFonts w:ascii="Arial" w:eastAsia="Arial" w:hAnsi="Arial"/>
          <w:sz w:val="16"/>
        </w:rPr>
      </w:pPr>
      <w:r w:rsidRPr="00441A34">
        <w:rPr>
          <w:rFonts w:ascii="Arial" w:eastAsia="Arial" w:hAnsi="Arial"/>
          <w:sz w:val="16"/>
        </w:rPr>
        <w:t>An organisation will want to consider the answers to all of these types of questions – and any other relevant considerations on a case-by-case basis – before reaching a decision about whether it needs to compete, or direct award,</w:t>
      </w:r>
    </w:p>
    <w:p w:rsidR="007F4DBB" w:rsidRPr="00441A34" w:rsidRDefault="007F4DBB" w:rsidP="007F4DBB">
      <w:pPr>
        <w:spacing w:line="0" w:lineRule="atLeast"/>
        <w:ind w:left="106"/>
        <w:jc w:val="both"/>
        <w:rPr>
          <w:rFonts w:ascii="Arial" w:eastAsia="Arial" w:hAnsi="Arial"/>
          <w:sz w:val="16"/>
        </w:rPr>
      </w:pPr>
      <w:r w:rsidRPr="00441A34">
        <w:rPr>
          <w:rFonts w:ascii="Arial" w:eastAsia="Arial" w:hAnsi="Arial"/>
          <w:sz w:val="16"/>
        </w:rPr>
        <w:t>a health or social care services contract.</w:t>
      </w:r>
    </w:p>
    <w:p w:rsidR="007F4DBB" w:rsidRPr="00441A34" w:rsidRDefault="007F4DBB" w:rsidP="007F4DBB">
      <w:pPr>
        <w:spacing w:line="128" w:lineRule="exact"/>
        <w:rPr>
          <w:rFonts w:ascii="Arial" w:eastAsia="Arial" w:hAnsi="Arial"/>
          <w:sz w:val="16"/>
        </w:rPr>
      </w:pPr>
    </w:p>
    <w:p w:rsidR="007F4DBB" w:rsidRDefault="007F4DBB" w:rsidP="007F4DBB">
      <w:pPr>
        <w:numPr>
          <w:ilvl w:val="0"/>
          <w:numId w:val="12"/>
        </w:numPr>
        <w:tabs>
          <w:tab w:val="left" w:pos="106"/>
        </w:tabs>
        <w:spacing w:line="258" w:lineRule="auto"/>
        <w:ind w:left="106" w:right="20" w:hanging="106"/>
        <w:rPr>
          <w:rFonts w:ascii="Arial" w:eastAsia="Arial" w:hAnsi="Arial"/>
          <w:color w:val="000000"/>
          <w:sz w:val="16"/>
        </w:rPr>
      </w:pPr>
      <w:r w:rsidRPr="00441A34">
        <w:rPr>
          <w:rFonts w:ascii="Arial" w:eastAsia="Arial" w:hAnsi="Arial"/>
          <w:sz w:val="16"/>
        </w:rPr>
        <w:t xml:space="preserve">There is no discretion for an organisation to directly award health or social care contracts that are equal to, or greater than, the EU-regulated threshold of €750,000 and which are regulated by </w:t>
      </w:r>
      <w:hyperlink r:id="rId11" w:history="1">
        <w:r w:rsidRPr="00441A34">
          <w:rPr>
            <w:rFonts w:ascii="Arial" w:eastAsia="Arial" w:hAnsi="Arial"/>
            <w:color w:val="002A7C"/>
            <w:sz w:val="16"/>
            <w:u w:val="single"/>
          </w:rPr>
          <w:t>The Public Contracts (Scotland) Regulations 2015</w:t>
        </w:r>
      </w:hyperlink>
      <w:r w:rsidRPr="007F4DBB">
        <w:rPr>
          <w:rFonts w:ascii="Arial" w:eastAsia="Arial" w:hAnsi="Arial"/>
          <w:sz w:val="16"/>
        </w:rPr>
        <w:t xml:space="preserve">. </w:t>
      </w:r>
    </w:p>
    <w:sectPr w:rsidR="007F4DBB" w:rsidSect="00AB54FF">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4DA" w:rsidRDefault="002914DA">
      <w:r>
        <w:separator/>
      </w:r>
    </w:p>
  </w:endnote>
  <w:endnote w:type="continuationSeparator" w:id="0">
    <w:p w:rsidR="002914DA" w:rsidRDefault="00291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12F" w:rsidRDefault="006871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79" w:rsidRPr="007A6E5D" w:rsidRDefault="0068712F" w:rsidP="0068712F">
    <w:pPr>
      <w:jc w:val="right"/>
      <w:rPr>
        <w:b/>
        <w:sz w:val="24"/>
        <w:szCs w:val="24"/>
      </w:rPr>
    </w:pPr>
    <w:bookmarkStart w:id="0" w:name="_GoBack"/>
    <w:proofErr w:type="spellStart"/>
    <w:r w:rsidRPr="0068712F">
      <w:rPr>
        <w:b/>
        <w:bCs/>
        <w:sz w:val="24"/>
        <w:szCs w:val="24"/>
      </w:rPr>
      <w:t>R3</w:t>
    </w:r>
    <w:proofErr w:type="spellEnd"/>
    <w:r w:rsidRPr="0068712F">
      <w:rPr>
        <w:b/>
        <w:bCs/>
        <w:sz w:val="24"/>
        <w:szCs w:val="24"/>
      </w:rPr>
      <w:t>-72-A</w:t>
    </w:r>
    <w:bookmarkEnd w:id="0"/>
    <w:r>
      <w:rPr>
        <w:b/>
        <w:bCs/>
        <w:color w:val="CC3300"/>
        <w:sz w:val="24"/>
        <w:szCs w:val="24"/>
      </w:rPr>
      <w:tab/>
    </w:r>
    <w:r>
      <w:rPr>
        <w:b/>
        <w:bCs/>
        <w:color w:val="CC3300"/>
        <w:sz w:val="24"/>
        <w:szCs w:val="24"/>
      </w:rPr>
      <w:tab/>
    </w:r>
    <w:r>
      <w:rPr>
        <w:b/>
        <w:bCs/>
        <w:color w:val="CC3300"/>
        <w:sz w:val="24"/>
        <w:szCs w:val="24"/>
      </w:rPr>
      <w:tab/>
    </w:r>
    <w:r>
      <w:rPr>
        <w:b/>
        <w:bCs/>
        <w:color w:val="CC3300"/>
        <w:sz w:val="24"/>
        <w:szCs w:val="24"/>
      </w:rPr>
      <w:tab/>
    </w:r>
    <w:r>
      <w:rPr>
        <w:b/>
        <w:bCs/>
        <w:color w:val="CC3300"/>
        <w:sz w:val="24"/>
        <w:szCs w:val="24"/>
      </w:rPr>
      <w:tab/>
    </w:r>
    <w:r>
      <w:rPr>
        <w:b/>
        <w:bCs/>
        <w:color w:val="CC3300"/>
        <w:sz w:val="24"/>
        <w:szCs w:val="24"/>
      </w:rPr>
      <w:tab/>
    </w:r>
    <w:r>
      <w:rPr>
        <w:b/>
        <w:bCs/>
        <w:color w:val="CC3300"/>
        <w:sz w:val="24"/>
        <w:szCs w:val="24"/>
      </w:rPr>
      <w:tab/>
    </w:r>
    <w:r>
      <w:rPr>
        <w:b/>
        <w:bCs/>
        <w:color w:val="CC3300"/>
        <w:sz w:val="24"/>
        <w:szCs w:val="24"/>
      </w:rPr>
      <w:tab/>
      <w:t xml:space="preserve"> </w:t>
    </w:r>
    <w:r w:rsidR="007A6E5D" w:rsidRPr="007A6E5D">
      <w:rPr>
        <w:b/>
        <w:bCs/>
        <w:color w:val="CC3300"/>
        <w:sz w:val="24"/>
        <w:szCs w:val="24"/>
      </w:rPr>
      <w:t>Pr</w:t>
    </w:r>
    <w:r w:rsidR="007A6E5D" w:rsidRPr="007A6E5D">
      <w:rPr>
        <w:rStyle w:val="branding--black"/>
        <w:b/>
        <w:bCs/>
        <w:sz w:val="24"/>
        <w:szCs w:val="24"/>
      </w:rPr>
      <w:t>o</w:t>
    </w:r>
    <w:r w:rsidR="007A6E5D" w:rsidRPr="007A6E5D">
      <w:rPr>
        <w:b/>
        <w:bCs/>
        <w:color w:val="CC3300"/>
        <w:sz w:val="24"/>
        <w:szCs w:val="24"/>
      </w:rPr>
      <w:t>curement J</w:t>
    </w:r>
    <w:r w:rsidR="007A6E5D" w:rsidRPr="007A6E5D">
      <w:rPr>
        <w:rStyle w:val="branding--black"/>
        <w:b/>
        <w:bCs/>
        <w:sz w:val="24"/>
        <w:szCs w:val="24"/>
      </w:rPr>
      <w:t>o</w:t>
    </w:r>
    <w:r w:rsidR="007A6E5D" w:rsidRPr="007A6E5D">
      <w:rPr>
        <w:b/>
        <w:bCs/>
        <w:color w:val="CC3300"/>
        <w:sz w:val="24"/>
        <w:szCs w:val="24"/>
      </w:rPr>
      <w:t>urney</w:t>
    </w:r>
    <w:r w:rsidR="007A6E5D" w:rsidRPr="007A6E5D">
      <w:rPr>
        <w:b/>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12F" w:rsidRDefault="00687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4DA" w:rsidRDefault="002914DA">
      <w:r>
        <w:separator/>
      </w:r>
    </w:p>
  </w:footnote>
  <w:footnote w:type="continuationSeparator" w:id="0">
    <w:p w:rsidR="002914DA" w:rsidRDefault="00291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12F" w:rsidRDefault="006871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79" w:rsidRPr="0067486A" w:rsidRDefault="003F2479" w:rsidP="0067486A">
    <w:pPr>
      <w:pStyle w:val="Header"/>
      <w:tabs>
        <w:tab w:val="clear" w:pos="4153"/>
        <w:tab w:val="clear" w:pos="8306"/>
        <w:tab w:val="center" w:pos="4500"/>
        <w:tab w:val="right" w:pos="900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12F" w:rsidRDefault="00687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0000AA"/>
    <w:multiLevelType w:val="hybridMultilevel"/>
    <w:tmpl w:val="0BAAC1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AB"/>
    <w:multiLevelType w:val="hybridMultilevel"/>
    <w:tmpl w:val="36B2ACB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AC"/>
    <w:multiLevelType w:val="hybridMultilevel"/>
    <w:tmpl w:val="779D854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AD"/>
    <w:multiLevelType w:val="hybridMultilevel"/>
    <w:tmpl w:val="4AB26E7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AE"/>
    <w:multiLevelType w:val="hybridMultilevel"/>
    <w:tmpl w:val="21FAA2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AF"/>
    <w:multiLevelType w:val="hybridMultilevel"/>
    <w:tmpl w:val="5451CF4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B0"/>
    <w:multiLevelType w:val="hybridMultilevel"/>
    <w:tmpl w:val="6181EF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B1"/>
    <w:multiLevelType w:val="hybridMultilevel"/>
    <w:tmpl w:val="3E6400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9"/>
  </w:num>
  <w:num w:numId="2">
    <w:abstractNumId w:val="0"/>
  </w:num>
  <w:num w:numId="3">
    <w:abstractNumId w:val="0"/>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DBB"/>
    <w:rsid w:val="000A0850"/>
    <w:rsid w:val="00100021"/>
    <w:rsid w:val="001267F7"/>
    <w:rsid w:val="00157346"/>
    <w:rsid w:val="00192DC7"/>
    <w:rsid w:val="002914DA"/>
    <w:rsid w:val="002F3688"/>
    <w:rsid w:val="0030453C"/>
    <w:rsid w:val="003F2479"/>
    <w:rsid w:val="00411FC4"/>
    <w:rsid w:val="00441A34"/>
    <w:rsid w:val="005964BD"/>
    <w:rsid w:val="00642CBE"/>
    <w:rsid w:val="0067486A"/>
    <w:rsid w:val="0068712F"/>
    <w:rsid w:val="006D26F7"/>
    <w:rsid w:val="007A6E5D"/>
    <w:rsid w:val="007F4DBB"/>
    <w:rsid w:val="008B0A0E"/>
    <w:rsid w:val="00952710"/>
    <w:rsid w:val="009F71B8"/>
    <w:rsid w:val="00A56EBA"/>
    <w:rsid w:val="00A90A53"/>
    <w:rsid w:val="00AB54FF"/>
    <w:rsid w:val="00AC310B"/>
    <w:rsid w:val="00AE01CB"/>
    <w:rsid w:val="00B51A3C"/>
    <w:rsid w:val="00C86FBA"/>
    <w:rsid w:val="00E3599D"/>
    <w:rsid w:val="00E36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FE0F33"/>
  <w15:docId w15:val="{E116BE6C-B00F-4C5B-A096-66DCFED9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DBB"/>
    <w:rPr>
      <w:rFonts w:ascii="Calibri" w:eastAsia="Calibri" w:hAnsi="Calibri" w:cs="Arial"/>
      <w:sz w:val="20"/>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paragraph" w:styleId="BalloonText">
    <w:name w:val="Balloon Text"/>
    <w:basedOn w:val="Normal"/>
    <w:link w:val="BalloonTextChar"/>
    <w:uiPriority w:val="99"/>
    <w:semiHidden/>
    <w:unhideWhenUsed/>
    <w:rsid w:val="005964BD"/>
    <w:rPr>
      <w:rFonts w:ascii="Tahoma" w:hAnsi="Tahoma" w:cs="Tahoma"/>
      <w:sz w:val="16"/>
      <w:szCs w:val="16"/>
    </w:rPr>
  </w:style>
  <w:style w:type="character" w:customStyle="1" w:styleId="BalloonTextChar">
    <w:name w:val="Balloon Text Char"/>
    <w:basedOn w:val="DefaultParagraphFont"/>
    <w:link w:val="BalloonText"/>
    <w:uiPriority w:val="99"/>
    <w:semiHidden/>
    <w:rsid w:val="005964BD"/>
    <w:rPr>
      <w:rFonts w:ascii="Tahoma" w:eastAsia="Calibri" w:hAnsi="Tahoma" w:cs="Tahoma"/>
      <w:sz w:val="16"/>
      <w:szCs w:val="16"/>
    </w:rPr>
  </w:style>
  <w:style w:type="character" w:customStyle="1" w:styleId="branding--black">
    <w:name w:val="branding--black"/>
    <w:basedOn w:val="DefaultParagraphFont"/>
    <w:rsid w:val="007A6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ssi/2015/446/contents/ma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A17304335</value>
    </field>
    <field name="Objective-Title">
      <value order="0">Route 3 - Flowchart to help decision for the continuation of an existing service</value>
    </field>
    <field name="Objective-Description">
      <value order="0"/>
    </field>
    <field name="Objective-CreationStamp">
      <value order="0">2017-03-17T16:28:31Z</value>
    </field>
    <field name="Objective-IsApproved">
      <value order="0">false</value>
    </field>
    <field name="Objective-IsPublished">
      <value order="0">true</value>
    </field>
    <field name="Objective-DatePublished">
      <value order="0">2018-02-19T10:24:33Z</value>
    </field>
    <field name="Objective-ModificationStamp">
      <value order="0">2018-02-19T10:24:37Z</value>
    </field>
    <field name="Objective-Owner">
      <value order="0">Nemeth, Nora N (U440487)</value>
    </field>
    <field name="Objective-Path">
      <value order="0">Objective Global Folder:SG File Plan:Government, politics and public administration:Public administration:Procurement:Advice and policy: Procurement:Procurement Development: Best Practice: New Procurement Journey: Route 3: LIVE from 18 April 2016: 2016-2021</value>
    </field>
    <field name="Objective-Parent">
      <value order="0">Procurement Development: Best Practice: New Procurement Journey: Route 3: LIVE from 18 April 2016: 2016-2021</value>
    </field>
    <field name="Objective-State">
      <value order="0">Published</value>
    </field>
    <field name="Objective-VersionId">
      <value order="0">vA28279742</value>
    </field>
    <field name="Objective-Version">
      <value order="0">2.0</value>
    </field>
    <field name="Objective-VersionNumber">
      <value order="0">2</value>
    </field>
    <field name="Objective-VersionComment">
      <value order="0"/>
    </field>
    <field name="Objective-FileNumber">
      <value order="0">CASE/299655</value>
    </field>
    <field name="Objective-Classification">
      <value order="0">OFFICIAL-SENSITIVE-COMMERCIAL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374</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z608474</dc:creator>
  <cp:lastModifiedBy>Martin S (Shaw)</cp:lastModifiedBy>
  <cp:revision>3</cp:revision>
  <dcterms:created xsi:type="dcterms:W3CDTF">2020-03-25T13:24:00Z</dcterms:created>
  <dcterms:modified xsi:type="dcterms:W3CDTF">2020-11-06T13:05:00Z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A17304335</vt:lpwstr>
  </property>
  <property fmtid="{D5CDD505-2E9C-101B-9397-08002B2CF9AE}" pid="4" name="Objective-Title">
    <vt:lpwstr>Route 3 - Flowchart to help decision for the continuation of an existing service</vt:lpwstr>
  </property>
  <property fmtid="{D5CDD505-2E9C-101B-9397-08002B2CF9AE}" pid="5" name="Objective-Comment">
    <vt:lpwstr/>
  </property>
  <property fmtid="{D5CDD505-2E9C-101B-9397-08002B2CF9AE}" pid="6" name="Objective-CreationStamp">
    <vt:filetime>2017-03-17T16:28:31Z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2018-02-19T10:24:33Z</vt:filetime>
  </property>
  <property fmtid="{D5CDD505-2E9C-101B-9397-08002B2CF9AE}" pid="10" name="Objective-ModificationStamp">
    <vt:filetime>2018-02-19T10:24:37Z</vt:filetime>
  </property>
  <property fmtid="{D5CDD505-2E9C-101B-9397-08002B2CF9AE}" pid="11" name="Objective-Owner">
    <vt:lpwstr>Nemeth, Nora N (U440487)</vt:lpwstr>
  </property>
  <property fmtid="{D5CDD505-2E9C-101B-9397-08002B2CF9AE}" pid="12" name="Objective-Path">
    <vt:lpwstr>Objective Global Folder:SG File Plan:Government, politics and public administration:Public administration:Procurement:Advice and policy: Procurement:Procurement Development: Best Practice: New Procurement Journey: Route 3: LIVE from 18 April 2016: 2016-20</vt:lpwstr>
  </property>
  <property fmtid="{D5CDD505-2E9C-101B-9397-08002B2CF9AE}" pid="13" name="Objective-Parent">
    <vt:lpwstr>Procurement Development: Best Practice: New Procurement Journey: Route 3: LIVE from 18 April 2016: 2016-2021</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CASE/299655</vt:lpwstr>
  </property>
  <property fmtid="{D5CDD505-2E9C-101B-9397-08002B2CF9AE}" pid="19" name="Objective-Classification">
    <vt:lpwstr>OFFICIAL-SENSITIVE-COMMERCIAL</vt:lpwstr>
  </property>
  <property fmtid="{D5CDD505-2E9C-101B-9397-08002B2CF9AE}" pid="20" name="Objective-Caveats">
    <vt:lpwstr>Caveat for access to SG Fileplan</vt:lpwstr>
  </property>
  <property fmtid="{D5CDD505-2E9C-101B-9397-08002B2CF9AE}" pid="21" name="Objective-Date of Original [system]">
    <vt:lpwstr/>
  </property>
  <property fmtid="{D5CDD505-2E9C-101B-9397-08002B2CF9AE}" pid="22" name="Objective-Date Received [system]">
    <vt:lpwstr/>
  </property>
  <property fmtid="{D5CDD505-2E9C-101B-9397-08002B2CF9AE}" pid="23" name="Objective-SG Web Publication - Category [system]">
    <vt:lpwstr/>
  </property>
  <property fmtid="{D5CDD505-2E9C-101B-9397-08002B2CF9AE}" pid="24" name="Objective-SG Web Publication - Category 2 Classification [system]">
    <vt:lpwstr/>
  </property>
  <property fmtid="{D5CDD505-2E9C-101B-9397-08002B2CF9AE}" pid="25" name="Objective-Description">
    <vt:lpwstr/>
  </property>
  <property fmtid="{D5CDD505-2E9C-101B-9397-08002B2CF9AE}" pid="26" name="Objective-VersionId">
    <vt:lpwstr>vA28279742</vt:lpwstr>
  </property>
  <property fmtid="{D5CDD505-2E9C-101B-9397-08002B2CF9AE}" pid="27" name="Objective-Connect Creator">
    <vt:lpwstr/>
  </property>
  <property fmtid="{D5CDD505-2E9C-101B-9397-08002B2CF9AE}" pid="28" name="Objective-Date Received">
    <vt:lpwstr/>
  </property>
  <property fmtid="{D5CDD505-2E9C-101B-9397-08002B2CF9AE}" pid="29" name="Objective-Date of Original">
    <vt:lpwstr/>
  </property>
  <property fmtid="{D5CDD505-2E9C-101B-9397-08002B2CF9AE}" pid="30" name="Objective-SG Web Publication - Category">
    <vt:lpwstr/>
  </property>
  <property fmtid="{D5CDD505-2E9C-101B-9397-08002B2CF9AE}" pid="31" name="Objective-SG Web Publication - Category 2 Classification">
    <vt:lpwstr/>
  </property>
  <property fmtid="{D5CDD505-2E9C-101B-9397-08002B2CF9AE}" pid="32" name="Objective-Connect Creator [system]">
    <vt:lpwstr/>
  </property>
</Properties>
</file>