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1F58B" w14:textId="77777777" w:rsidR="00027C27" w:rsidRDefault="00027C27" w:rsidP="00B561C0"/>
    <w:p w14:paraId="736F715F" w14:textId="77777777" w:rsidR="00CC6009" w:rsidRDefault="00CC6009" w:rsidP="00B561C0"/>
    <w:p w14:paraId="32BD1306" w14:textId="77777777" w:rsidR="00CC6009" w:rsidRDefault="00CC6009" w:rsidP="00B561C0"/>
    <w:p w14:paraId="13F8DD23" w14:textId="77777777" w:rsidR="00CC6009" w:rsidRDefault="00CC6009" w:rsidP="00B561C0"/>
    <w:p w14:paraId="6A18D5AF" w14:textId="77777777" w:rsidR="00CC6009" w:rsidRDefault="00CC6009" w:rsidP="00B561C0"/>
    <w:p w14:paraId="5367F21A" w14:textId="77777777" w:rsidR="00CC6009" w:rsidRDefault="00CC6009" w:rsidP="00B561C0"/>
    <w:p w14:paraId="34750B34" w14:textId="77777777" w:rsidR="00CC6009" w:rsidRDefault="00CC6009" w:rsidP="00B561C0"/>
    <w:p w14:paraId="4C19DBBD" w14:textId="77777777" w:rsidR="00CC6009" w:rsidRDefault="00CC6009" w:rsidP="00B561C0"/>
    <w:p w14:paraId="24998868" w14:textId="77777777" w:rsidR="004D21D9" w:rsidRDefault="004D21D9" w:rsidP="00CC6009">
      <w:pPr>
        <w:suppressAutoHyphens/>
        <w:autoSpaceDN w:val="0"/>
        <w:jc w:val="center"/>
        <w:textAlignment w:val="baseline"/>
        <w:rPr>
          <w:rFonts w:cs="Arial"/>
          <w:b/>
          <w:bCs/>
          <w:color w:val="CC3300"/>
          <w:sz w:val="60"/>
          <w:szCs w:val="60"/>
          <w:lang w:eastAsia="en-GB"/>
        </w:rPr>
      </w:pPr>
      <w:bookmarkStart w:id="0" w:name="_Hlk218775782"/>
    </w:p>
    <w:p w14:paraId="381820C4" w14:textId="77777777" w:rsidR="004D21D9" w:rsidRDefault="004D21D9" w:rsidP="00CC6009">
      <w:pPr>
        <w:suppressAutoHyphens/>
        <w:autoSpaceDN w:val="0"/>
        <w:jc w:val="center"/>
        <w:textAlignment w:val="baseline"/>
        <w:rPr>
          <w:rFonts w:cs="Arial"/>
          <w:b/>
          <w:bCs/>
          <w:color w:val="CC3300"/>
          <w:sz w:val="60"/>
          <w:szCs w:val="60"/>
          <w:lang w:eastAsia="en-GB"/>
        </w:rPr>
      </w:pPr>
    </w:p>
    <w:p w14:paraId="77865703" w14:textId="77777777" w:rsidR="004D21D9" w:rsidRDefault="004D21D9" w:rsidP="00CC6009">
      <w:pPr>
        <w:suppressAutoHyphens/>
        <w:autoSpaceDN w:val="0"/>
        <w:jc w:val="center"/>
        <w:textAlignment w:val="baseline"/>
        <w:rPr>
          <w:rFonts w:cs="Arial"/>
          <w:b/>
          <w:bCs/>
          <w:color w:val="CC3300"/>
          <w:sz w:val="60"/>
          <w:szCs w:val="60"/>
          <w:lang w:eastAsia="en-GB"/>
        </w:rPr>
      </w:pPr>
    </w:p>
    <w:p w14:paraId="7BCB0C9C" w14:textId="10ADD30D" w:rsidR="00CC6009" w:rsidRPr="00CC6009" w:rsidRDefault="00CC6009" w:rsidP="00CC6009">
      <w:pPr>
        <w:suppressAutoHyphens/>
        <w:autoSpaceDN w:val="0"/>
        <w:jc w:val="center"/>
        <w:textAlignment w:val="baseline"/>
        <w:rPr>
          <w:rFonts w:ascii="Times New Roman" w:hAnsi="Times New Roman"/>
          <w:szCs w:val="24"/>
          <w:lang w:eastAsia="en-GB"/>
        </w:rPr>
      </w:pPr>
      <w:r w:rsidRPr="00CC6009">
        <w:rPr>
          <w:rFonts w:cs="Arial"/>
          <w:b/>
          <w:bCs/>
          <w:color w:val="CC3300"/>
          <w:sz w:val="60"/>
          <w:szCs w:val="60"/>
          <w:lang w:eastAsia="en-GB"/>
        </w:rPr>
        <w:t>Pr</w:t>
      </w:r>
      <w:r w:rsidRPr="00CC6009">
        <w:rPr>
          <w:rFonts w:cs="Arial"/>
          <w:b/>
          <w:bCs/>
          <w:sz w:val="60"/>
          <w:szCs w:val="60"/>
          <w:lang w:eastAsia="en-GB"/>
        </w:rPr>
        <w:t>o</w:t>
      </w:r>
      <w:r w:rsidRPr="00CC6009">
        <w:rPr>
          <w:rFonts w:cs="Arial"/>
          <w:b/>
          <w:bCs/>
          <w:color w:val="CC3300"/>
          <w:sz w:val="60"/>
          <w:szCs w:val="60"/>
          <w:lang w:eastAsia="en-GB"/>
        </w:rPr>
        <w:t>curement J</w:t>
      </w:r>
      <w:r w:rsidRPr="00CC6009">
        <w:rPr>
          <w:rFonts w:cs="Arial"/>
          <w:b/>
          <w:bCs/>
          <w:sz w:val="60"/>
          <w:szCs w:val="60"/>
          <w:lang w:eastAsia="en-GB"/>
        </w:rPr>
        <w:t>o</w:t>
      </w:r>
      <w:r w:rsidRPr="00CC6009">
        <w:rPr>
          <w:rFonts w:cs="Arial"/>
          <w:b/>
          <w:bCs/>
          <w:color w:val="CC3300"/>
          <w:sz w:val="60"/>
          <w:szCs w:val="60"/>
          <w:lang w:eastAsia="en-GB"/>
        </w:rPr>
        <w:t>urney</w:t>
      </w:r>
    </w:p>
    <w:p w14:paraId="6B9D32BE" w14:textId="2E5FCB56" w:rsidR="00CC6009" w:rsidRPr="00CC6009" w:rsidRDefault="00CC6009" w:rsidP="00CC6009">
      <w:pPr>
        <w:suppressAutoHyphens/>
        <w:autoSpaceDN w:val="0"/>
        <w:jc w:val="center"/>
        <w:textAlignment w:val="baseline"/>
        <w:rPr>
          <w:rFonts w:cs="Arial"/>
          <w:b/>
          <w:bCs/>
          <w:sz w:val="28"/>
          <w:szCs w:val="28"/>
          <w:lang w:eastAsia="en-GB"/>
        </w:rPr>
      </w:pPr>
      <w:r>
        <w:rPr>
          <w:rFonts w:cs="Arial"/>
          <w:b/>
          <w:bCs/>
          <w:sz w:val="28"/>
          <w:szCs w:val="28"/>
          <w:lang w:eastAsia="en-GB"/>
        </w:rPr>
        <w:t>Management Information Example</w:t>
      </w:r>
      <w:bookmarkEnd w:id="0"/>
    </w:p>
    <w:p w14:paraId="75FB74FA" w14:textId="77777777" w:rsidR="00CC6009" w:rsidRDefault="00CC6009" w:rsidP="00B561C0"/>
    <w:p w14:paraId="3E3E709A" w14:textId="77777777" w:rsidR="00CC6009" w:rsidRDefault="00CC6009" w:rsidP="00B561C0"/>
    <w:p w14:paraId="30F81394" w14:textId="77777777" w:rsidR="00CC6009" w:rsidRDefault="00CC6009" w:rsidP="00B561C0"/>
    <w:p w14:paraId="6D28FF56" w14:textId="77777777" w:rsidR="00CC6009" w:rsidRDefault="00CC6009" w:rsidP="00B561C0"/>
    <w:p w14:paraId="0ADF3D9D" w14:textId="77777777" w:rsidR="00CC6009" w:rsidRDefault="00CC6009" w:rsidP="00CC6009"/>
    <w:p w14:paraId="5F28C2F5" w14:textId="77777777" w:rsidR="00CC6009" w:rsidRDefault="00CC6009" w:rsidP="00CC6009"/>
    <w:p w14:paraId="38A289A3" w14:textId="77777777" w:rsidR="00CC6009" w:rsidRDefault="00CC6009" w:rsidP="00CC6009"/>
    <w:p w14:paraId="120AF668" w14:textId="77777777" w:rsidR="00CC6009" w:rsidRDefault="00CC6009" w:rsidP="00CC6009"/>
    <w:p w14:paraId="72B468EC" w14:textId="77777777" w:rsidR="00CC6009" w:rsidRDefault="00CC6009" w:rsidP="00CC6009"/>
    <w:p w14:paraId="013502FE" w14:textId="77777777" w:rsidR="00CC6009" w:rsidRDefault="00CC6009" w:rsidP="00CC6009"/>
    <w:p w14:paraId="16DBF4FD" w14:textId="77777777" w:rsidR="00CC6009" w:rsidRDefault="00CC6009" w:rsidP="00CC6009"/>
    <w:p w14:paraId="63BFAC52" w14:textId="77777777" w:rsidR="00CC6009" w:rsidRDefault="00CC6009" w:rsidP="00CC6009"/>
    <w:p w14:paraId="5A81C0A7" w14:textId="77777777" w:rsidR="00CC6009" w:rsidRDefault="00CC6009" w:rsidP="00CC6009"/>
    <w:p w14:paraId="67E7C2AD" w14:textId="77777777" w:rsidR="00CC6009" w:rsidRDefault="00CC6009" w:rsidP="00CC6009"/>
    <w:p w14:paraId="2A112C3C" w14:textId="77777777" w:rsidR="00CC6009" w:rsidRDefault="00CC6009" w:rsidP="00CC6009"/>
    <w:p w14:paraId="32D3DA2B" w14:textId="77777777" w:rsidR="00CC6009" w:rsidRDefault="00CC6009" w:rsidP="00CC6009"/>
    <w:p w14:paraId="45B2FC38" w14:textId="77777777" w:rsidR="00CC6009" w:rsidRDefault="00CC6009" w:rsidP="00CC6009"/>
    <w:p w14:paraId="54CF8E8E" w14:textId="77777777" w:rsidR="00CC6009" w:rsidRDefault="00CC6009" w:rsidP="00CC6009"/>
    <w:p w14:paraId="14952DAE" w14:textId="77777777" w:rsidR="00CC6009" w:rsidRDefault="00CC6009" w:rsidP="00CC6009"/>
    <w:p w14:paraId="1AEE7299" w14:textId="77777777" w:rsidR="00CC6009" w:rsidRDefault="00CC6009" w:rsidP="00CC6009"/>
    <w:p w14:paraId="0283BF5F" w14:textId="77777777" w:rsidR="00CC6009" w:rsidRDefault="00CC6009" w:rsidP="00CC6009"/>
    <w:p w14:paraId="2EFB4757" w14:textId="77777777" w:rsidR="00CC6009" w:rsidRDefault="00CC6009" w:rsidP="00CC6009"/>
    <w:p w14:paraId="28C535EB" w14:textId="77777777" w:rsidR="00CC6009" w:rsidRDefault="00CC6009" w:rsidP="00CC6009"/>
    <w:p w14:paraId="0CAB43CE" w14:textId="77777777" w:rsidR="00D0384D" w:rsidRDefault="00D0384D" w:rsidP="00CC6009"/>
    <w:p w14:paraId="537E7D1A" w14:textId="77777777" w:rsidR="00D0384D" w:rsidRDefault="00D0384D" w:rsidP="00CC6009"/>
    <w:p w14:paraId="21371DA6" w14:textId="77777777" w:rsidR="00D0384D" w:rsidRDefault="00D0384D" w:rsidP="00CC6009"/>
    <w:p w14:paraId="1C79B1B5" w14:textId="77777777" w:rsidR="00D0384D" w:rsidRDefault="00D0384D" w:rsidP="00CC6009">
      <w:pPr>
        <w:rPr>
          <w:b/>
          <w:bCs/>
        </w:rPr>
      </w:pPr>
    </w:p>
    <w:p w14:paraId="3155BB7B" w14:textId="77777777" w:rsidR="004D21D9" w:rsidRDefault="004D21D9" w:rsidP="00CC6009">
      <w:pPr>
        <w:rPr>
          <w:b/>
          <w:bCs/>
        </w:rPr>
      </w:pPr>
    </w:p>
    <w:p w14:paraId="2C56181D" w14:textId="338C884D" w:rsidR="00CC6009" w:rsidRPr="00CC6009" w:rsidRDefault="00CC6009" w:rsidP="00CC6009">
      <w:r w:rsidRPr="00CC6009">
        <w:rPr>
          <w:b/>
          <w:bCs/>
        </w:rPr>
        <w:lastRenderedPageBreak/>
        <w:t xml:space="preserve">Management Information </w:t>
      </w:r>
    </w:p>
    <w:p w14:paraId="7DE7DFCE" w14:textId="77777777" w:rsidR="00CC6009" w:rsidRDefault="00CC6009" w:rsidP="00CC6009">
      <w:r w:rsidRPr="00CC6009">
        <w:t xml:space="preserve">(Example for a collaborative arrangement which can be modified as required) </w:t>
      </w:r>
    </w:p>
    <w:p w14:paraId="35725820" w14:textId="77777777" w:rsidR="00CC6009" w:rsidRPr="00CC6009" w:rsidRDefault="00CC6009" w:rsidP="00CC6009"/>
    <w:p w14:paraId="4381E8C8" w14:textId="77777777" w:rsidR="00CC6009" w:rsidRDefault="00CC6009" w:rsidP="00CC6009">
      <w:r w:rsidRPr="00CC6009">
        <w:t xml:space="preserve">Although Management Information (MI) should only be requested on in-scope products/services, where requested by the buying organisation, the supplier should provide the organisation with their complete spend profile. </w:t>
      </w:r>
    </w:p>
    <w:p w14:paraId="1903ED0F" w14:textId="77777777" w:rsidR="00CC6009" w:rsidRPr="00CC6009" w:rsidRDefault="00CC6009" w:rsidP="00CC6009"/>
    <w:p w14:paraId="69CC1FBD" w14:textId="77777777" w:rsidR="00CC6009" w:rsidRDefault="00CC6009" w:rsidP="00CC6009">
      <w:r w:rsidRPr="00CC6009">
        <w:t xml:space="preserve">Where MI is in-scope, the supplier will be required to make available quarterly online reports and information, including: </w:t>
      </w:r>
    </w:p>
    <w:p w14:paraId="08302B64" w14:textId="77777777" w:rsidR="00CC6009" w:rsidRPr="00CC6009" w:rsidRDefault="00CC6009" w:rsidP="00CC6009"/>
    <w:p w14:paraId="56EA82C1" w14:textId="77777777" w:rsidR="00CC6009" w:rsidRPr="00CC6009" w:rsidRDefault="00CC6009" w:rsidP="00CC6009">
      <w:r w:rsidRPr="00CC6009">
        <w:t xml:space="preserve">1. </w:t>
      </w:r>
      <w:r w:rsidRPr="00CC6009">
        <w:rPr>
          <w:b/>
          <w:bCs/>
        </w:rPr>
        <w:t xml:space="preserve">Executive Summary </w:t>
      </w:r>
      <w:r w:rsidRPr="00CC6009">
        <w:t xml:space="preserve">– High level summary information overview overall/sector/org </w:t>
      </w:r>
    </w:p>
    <w:p w14:paraId="7DA711EF" w14:textId="77777777" w:rsidR="00CC6009" w:rsidRPr="00CC6009" w:rsidRDefault="00CC6009" w:rsidP="00CC6009">
      <w:r w:rsidRPr="00CC6009">
        <w:t xml:space="preserve">2. </w:t>
      </w:r>
      <w:r w:rsidRPr="00CC6009">
        <w:rPr>
          <w:b/>
          <w:bCs/>
        </w:rPr>
        <w:t xml:space="preserve">Participation Agreements </w:t>
      </w:r>
      <w:r w:rsidRPr="00CC6009">
        <w:t xml:space="preserve">– Details of organisations utilising contract, including (anticipated) start date (grouped by sector) </w:t>
      </w:r>
    </w:p>
    <w:p w14:paraId="0D67E647" w14:textId="77777777" w:rsidR="00CC6009" w:rsidRPr="00CC6009" w:rsidRDefault="00CC6009" w:rsidP="00CC6009">
      <w:r w:rsidRPr="00CC6009">
        <w:t xml:space="preserve">3. </w:t>
      </w:r>
      <w:r w:rsidRPr="00CC6009">
        <w:rPr>
          <w:b/>
          <w:bCs/>
        </w:rPr>
        <w:t xml:space="preserve">Monthly spend by lines, cost centre/organisation </w:t>
      </w:r>
      <w:r w:rsidRPr="00CC6009">
        <w:t xml:space="preserve">– incorporating MI template, and including further information including </w:t>
      </w:r>
      <w:proofErr w:type="spellStart"/>
      <w:r w:rsidRPr="00CC6009">
        <w:t>UNSPSC</w:t>
      </w:r>
      <w:proofErr w:type="spellEnd"/>
      <w:r w:rsidRPr="00CC6009">
        <w:t xml:space="preserve"> (or some form of product group distinguisher), environmental indicator, order reference. </w:t>
      </w:r>
    </w:p>
    <w:p w14:paraId="65F9ED5C" w14:textId="77777777" w:rsidR="00CC6009" w:rsidRPr="00CC6009" w:rsidRDefault="00CC6009" w:rsidP="00CC6009">
      <w:r w:rsidRPr="00CC6009">
        <w:t xml:space="preserve">4. </w:t>
      </w:r>
      <w:r w:rsidRPr="00CC6009">
        <w:rPr>
          <w:b/>
          <w:bCs/>
        </w:rPr>
        <w:t xml:space="preserve">Number of orders placed </w:t>
      </w:r>
      <w:r w:rsidRPr="00CC6009">
        <w:t xml:space="preserve">– information should be available down to delivery point level and indicate frequency of ordering. </w:t>
      </w:r>
    </w:p>
    <w:p w14:paraId="4013CBC5" w14:textId="77777777" w:rsidR="00CC6009" w:rsidRPr="00CC6009" w:rsidRDefault="00CC6009" w:rsidP="00CC6009">
      <w:r w:rsidRPr="00CC6009">
        <w:t xml:space="preserve">5. </w:t>
      </w:r>
      <w:r w:rsidRPr="00CC6009">
        <w:rPr>
          <w:b/>
          <w:bCs/>
        </w:rPr>
        <w:t xml:space="preserve">Number of orders placed by value </w:t>
      </w:r>
      <w:r w:rsidRPr="00CC6009">
        <w:t xml:space="preserve">– grouped by order value </w:t>
      </w:r>
    </w:p>
    <w:p w14:paraId="527D2D3E" w14:textId="77777777" w:rsidR="00CC6009" w:rsidRPr="00CC6009" w:rsidRDefault="00CC6009" w:rsidP="00CC6009">
      <w:r w:rsidRPr="00CC6009">
        <w:t xml:space="preserve">6. </w:t>
      </w:r>
      <w:r w:rsidRPr="00CC6009">
        <w:rPr>
          <w:b/>
          <w:bCs/>
        </w:rPr>
        <w:t xml:space="preserve">Average order value </w:t>
      </w:r>
      <w:r w:rsidRPr="00CC6009">
        <w:t xml:space="preserve">– available down to delivery point level </w:t>
      </w:r>
    </w:p>
    <w:p w14:paraId="273D73D9" w14:textId="77777777" w:rsidR="00CC6009" w:rsidRPr="00CC6009" w:rsidRDefault="00CC6009" w:rsidP="00CC6009">
      <w:r w:rsidRPr="00CC6009">
        <w:t xml:space="preserve">7. </w:t>
      </w:r>
      <w:r w:rsidRPr="00CC6009">
        <w:rPr>
          <w:b/>
          <w:bCs/>
        </w:rPr>
        <w:t xml:space="preserve">Number and value of back orders </w:t>
      </w:r>
      <w:r w:rsidRPr="00CC6009">
        <w:t xml:space="preserve">– including resolution time period </w:t>
      </w:r>
    </w:p>
    <w:p w14:paraId="7B921AE1" w14:textId="77777777" w:rsidR="00CC6009" w:rsidRPr="00CC6009" w:rsidRDefault="00CC6009" w:rsidP="00CC6009">
      <w:r w:rsidRPr="00CC6009">
        <w:t xml:space="preserve">8. </w:t>
      </w:r>
      <w:r w:rsidRPr="00CC6009">
        <w:rPr>
          <w:b/>
          <w:bCs/>
        </w:rPr>
        <w:t xml:space="preserve">Number and value of returns/credits </w:t>
      </w:r>
      <w:r w:rsidRPr="00CC6009">
        <w:t xml:space="preserve">– including reasons for returns </w:t>
      </w:r>
    </w:p>
    <w:p w14:paraId="2F1E1BC8" w14:textId="77777777" w:rsidR="00CC6009" w:rsidRPr="00CC6009" w:rsidRDefault="00CC6009" w:rsidP="00CC6009">
      <w:r w:rsidRPr="00CC6009">
        <w:t xml:space="preserve">9. </w:t>
      </w:r>
      <w:r w:rsidRPr="00CC6009">
        <w:rPr>
          <w:b/>
          <w:bCs/>
        </w:rPr>
        <w:t xml:space="preserve">Expenditure by product group and sub-product group </w:t>
      </w:r>
      <w:r w:rsidRPr="00CC6009">
        <w:t xml:space="preserve">– Link into </w:t>
      </w:r>
      <w:proofErr w:type="spellStart"/>
      <w:r w:rsidRPr="00CC6009">
        <w:t>UNSPSC</w:t>
      </w:r>
      <w:proofErr w:type="spellEnd"/>
      <w:r w:rsidRPr="00CC6009">
        <w:t xml:space="preserve"> or form of product grouping </w:t>
      </w:r>
    </w:p>
    <w:p w14:paraId="311C8CD1" w14:textId="77777777" w:rsidR="00CC6009" w:rsidRPr="00CC6009" w:rsidRDefault="00CC6009" w:rsidP="00CC6009">
      <w:r w:rsidRPr="00CC6009">
        <w:t xml:space="preserve">10. </w:t>
      </w:r>
      <w:r w:rsidRPr="00CC6009">
        <w:rPr>
          <w:b/>
          <w:bCs/>
        </w:rPr>
        <w:t xml:space="preserve">Expenditure core versus non-core </w:t>
      </w:r>
    </w:p>
    <w:p w14:paraId="2F52FA81" w14:textId="77777777" w:rsidR="00CC6009" w:rsidRPr="00CC6009" w:rsidRDefault="00CC6009" w:rsidP="00CC6009">
      <w:r w:rsidRPr="00CC6009">
        <w:t xml:space="preserve">11. </w:t>
      </w:r>
      <w:r w:rsidRPr="00CC6009">
        <w:rPr>
          <w:b/>
          <w:bCs/>
        </w:rPr>
        <w:t xml:space="preserve">Overall expenditure by current quarter versus last quarter </w:t>
      </w:r>
      <w:r w:rsidRPr="00CC6009">
        <w:t xml:space="preserve">– this should build up over duration of contract to allow analysis of </w:t>
      </w:r>
      <w:proofErr w:type="spellStart"/>
      <w:r w:rsidRPr="00CC6009">
        <w:t>on going</w:t>
      </w:r>
      <w:proofErr w:type="spellEnd"/>
      <w:r w:rsidRPr="00CC6009">
        <w:t xml:space="preserve"> spend. </w:t>
      </w:r>
    </w:p>
    <w:p w14:paraId="1D60F2C5" w14:textId="77777777" w:rsidR="00CC6009" w:rsidRPr="00CC6009" w:rsidRDefault="00CC6009" w:rsidP="00CC6009">
      <w:r w:rsidRPr="00CC6009">
        <w:t xml:space="preserve">12. </w:t>
      </w:r>
      <w:r w:rsidRPr="00CC6009">
        <w:rPr>
          <w:b/>
          <w:bCs/>
        </w:rPr>
        <w:t xml:space="preserve">Overall expenditure by product split by building </w:t>
      </w:r>
      <w:r w:rsidRPr="00CC6009">
        <w:t xml:space="preserve">– to include no. of delivery points per organisation and per site, frequency of deliveries made to these delivery points and order values. </w:t>
      </w:r>
    </w:p>
    <w:p w14:paraId="2B4E231E" w14:textId="77777777" w:rsidR="00CC6009" w:rsidRPr="00CC6009" w:rsidRDefault="00CC6009" w:rsidP="00CC6009">
      <w:r w:rsidRPr="00CC6009">
        <w:t xml:space="preserve">13. </w:t>
      </w:r>
      <w:r w:rsidRPr="00CC6009">
        <w:rPr>
          <w:b/>
          <w:bCs/>
        </w:rPr>
        <w:t xml:space="preserve">% of products ordered with a recycled content plus no. of items sent back/collected for recycling </w:t>
      </w:r>
      <w:r w:rsidRPr="00CC6009">
        <w:t xml:space="preserve">- clarify definition of environmental products. </w:t>
      </w:r>
    </w:p>
    <w:p w14:paraId="6FA60E89" w14:textId="77777777" w:rsidR="00CC6009" w:rsidRPr="00CC6009" w:rsidRDefault="00CC6009" w:rsidP="00CC6009">
      <w:r w:rsidRPr="00CC6009">
        <w:t xml:space="preserve">14. </w:t>
      </w:r>
      <w:r w:rsidRPr="00CC6009">
        <w:rPr>
          <w:b/>
          <w:bCs/>
        </w:rPr>
        <w:t xml:space="preserve">Product/service availability </w:t>
      </w:r>
      <w:r w:rsidRPr="00CC6009">
        <w:t xml:space="preserve">– identify those items which were out of stock or services which could not be fulfilled, and where substitution occurs, detail the substitution and the number of days for the requirement to be fulfilled. </w:t>
      </w:r>
    </w:p>
    <w:p w14:paraId="50889967" w14:textId="77777777" w:rsidR="00CC6009" w:rsidRPr="00CC6009" w:rsidRDefault="00CC6009" w:rsidP="00CC6009">
      <w:r w:rsidRPr="00CC6009">
        <w:t xml:space="preserve">15. </w:t>
      </w:r>
      <w:r w:rsidRPr="00CC6009">
        <w:rPr>
          <w:b/>
          <w:bCs/>
        </w:rPr>
        <w:t xml:space="preserve">Number and Percentage of all order lines/requirements dispatched/serviced on time </w:t>
      </w:r>
    </w:p>
    <w:p w14:paraId="2371D32B" w14:textId="77777777" w:rsidR="00CC6009" w:rsidRPr="00CC6009" w:rsidRDefault="00CC6009" w:rsidP="00CC6009">
      <w:r w:rsidRPr="00CC6009">
        <w:t xml:space="preserve">16. Benchmark Data </w:t>
      </w:r>
    </w:p>
    <w:p w14:paraId="60BEEEC9" w14:textId="77777777" w:rsidR="00CC6009" w:rsidRPr="00CC6009" w:rsidRDefault="00CC6009" w:rsidP="00CC6009">
      <w:r w:rsidRPr="00CC6009">
        <w:t xml:space="preserve">17. </w:t>
      </w:r>
      <w:r w:rsidRPr="00CC6009">
        <w:rPr>
          <w:b/>
          <w:bCs/>
        </w:rPr>
        <w:t xml:space="preserve">e-Commerce Summary </w:t>
      </w:r>
      <w:r w:rsidRPr="00CC6009">
        <w:t xml:space="preserve">– identify spend going through e-procurement systems </w:t>
      </w:r>
    </w:p>
    <w:p w14:paraId="17DB90E1" w14:textId="77777777" w:rsidR="00CC6009" w:rsidRPr="00CC6009" w:rsidRDefault="00CC6009" w:rsidP="00CC6009">
      <w:r w:rsidRPr="00CC6009">
        <w:t xml:space="preserve">18. </w:t>
      </w:r>
      <w:r w:rsidRPr="00CC6009">
        <w:rPr>
          <w:b/>
          <w:bCs/>
        </w:rPr>
        <w:t xml:space="preserve">Invoice queries </w:t>
      </w:r>
      <w:r w:rsidRPr="00CC6009">
        <w:t xml:space="preserve">– including number of and the resolution time [reasons should be available if asked for]. </w:t>
      </w:r>
    </w:p>
    <w:p w14:paraId="5D51C4E1" w14:textId="77777777" w:rsidR="00CC6009" w:rsidRDefault="00CC6009" w:rsidP="00CC6009">
      <w:r w:rsidRPr="00CC6009">
        <w:t xml:space="preserve">19. </w:t>
      </w:r>
      <w:r w:rsidRPr="00CC6009">
        <w:rPr>
          <w:b/>
          <w:bCs/>
        </w:rPr>
        <w:t xml:space="preserve">Sundries </w:t>
      </w:r>
      <w:r w:rsidRPr="00CC6009">
        <w:t xml:space="preserve">– provide breakdown of non-cost elements e.g. catalogues/recycling boxes requested, including the number issued and the delivery point they are sent to. </w:t>
      </w:r>
    </w:p>
    <w:p w14:paraId="03559306" w14:textId="77777777" w:rsidR="00CC6009" w:rsidRDefault="00CC6009" w:rsidP="00CC6009"/>
    <w:p w14:paraId="4C3EDDB9" w14:textId="77777777" w:rsidR="00D0384D" w:rsidRDefault="00D0384D" w:rsidP="00CC6009"/>
    <w:p w14:paraId="11BB58A9" w14:textId="1F3B97E5" w:rsidR="00CC6009" w:rsidRPr="00CC6009" w:rsidRDefault="00CC6009" w:rsidP="00CC6009">
      <w:pPr>
        <w:rPr>
          <w:b/>
          <w:bCs/>
        </w:rPr>
      </w:pPr>
      <w:r w:rsidRPr="00CC6009">
        <w:rPr>
          <w:b/>
          <w:bCs/>
        </w:rPr>
        <w:lastRenderedPageBreak/>
        <w:t>Example of Management Information requirements in an Invitation to Tender (ITT)</w:t>
      </w:r>
    </w:p>
    <w:p w14:paraId="65DC1578" w14:textId="77777777" w:rsidR="00CC6009" w:rsidRDefault="00CC6009" w:rsidP="00CC6009"/>
    <w:p w14:paraId="62CF08FF" w14:textId="77777777" w:rsidR="00CC6009" w:rsidRPr="00CC6009" w:rsidRDefault="00CC6009" w:rsidP="00CC6009">
      <w:r w:rsidRPr="00CC6009">
        <w:t xml:space="preserve">Where appropriate, all reports will be available against individual organisations and sectors. </w:t>
      </w:r>
    </w:p>
    <w:tbl>
      <w:tblPr>
        <w:tblW w:w="889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897"/>
      </w:tblGrid>
      <w:tr w:rsidR="00CC6009" w:rsidRPr="00CC6009" w14:paraId="779DC530" w14:textId="77777777" w:rsidTr="00CC6009">
        <w:trPr>
          <w:trHeight w:val="112"/>
        </w:trPr>
        <w:tc>
          <w:tcPr>
            <w:tcW w:w="8897" w:type="dxa"/>
            <w:tcBorders>
              <w:top w:val="none" w:sz="6" w:space="0" w:color="auto"/>
              <w:bottom w:val="none" w:sz="6" w:space="0" w:color="auto"/>
            </w:tcBorders>
          </w:tcPr>
          <w:p w14:paraId="3B98FFE5" w14:textId="77777777" w:rsidR="00CC6009" w:rsidRPr="00CC6009" w:rsidRDefault="00CC6009" w:rsidP="00CC6009">
            <w:r w:rsidRPr="00CC6009">
              <w:t xml:space="preserve">On a quarterly basis, the supplier will provide benchmark data against the market place. . </w:t>
            </w:r>
            <w:r w:rsidRPr="00CC6009">
              <w:rPr>
                <w:b/>
                <w:bCs/>
                <w:i/>
                <w:iCs/>
              </w:rPr>
              <w:t xml:space="preserve">2.5.3 Management Information (Mandatory Statement of Requirement 1.6) </w:t>
            </w:r>
          </w:p>
        </w:tc>
      </w:tr>
      <w:tr w:rsidR="00CC6009" w:rsidRPr="00CC6009" w14:paraId="2BD8CB2D" w14:textId="77777777" w:rsidTr="00CC6009">
        <w:trPr>
          <w:trHeight w:val="2735"/>
        </w:trPr>
        <w:tc>
          <w:tcPr>
            <w:tcW w:w="8897" w:type="dxa"/>
            <w:tcBorders>
              <w:top w:val="none" w:sz="6" w:space="0" w:color="auto"/>
              <w:bottom w:val="none" w:sz="6" w:space="0" w:color="auto"/>
            </w:tcBorders>
          </w:tcPr>
          <w:p w14:paraId="7AA2A9D6" w14:textId="77777777" w:rsidR="00CC6009" w:rsidRDefault="00CC6009" w:rsidP="00CC6009">
            <w:r w:rsidRPr="00CC6009">
              <w:t xml:space="preserve">The supplier will prepare and submit management and performance information reports in an electronic format within 10 working days from the end of the relevant quarter: </w:t>
            </w:r>
          </w:p>
          <w:p w14:paraId="713DB871" w14:textId="77777777" w:rsidR="00D0384D" w:rsidRPr="00CC6009" w:rsidRDefault="00D0384D" w:rsidP="00CC6009"/>
          <w:p w14:paraId="4D5A6A0E" w14:textId="77777777" w:rsidR="00CC6009" w:rsidRDefault="00CC6009" w:rsidP="00CC6009">
            <w:r w:rsidRPr="00CC6009">
              <w:t xml:space="preserve">Reports to be collated by pick up point, by customer cost centre, by sector and at a national level unless otherwise stated. </w:t>
            </w:r>
          </w:p>
          <w:p w14:paraId="7E0F8834" w14:textId="77777777" w:rsidR="00D0384D" w:rsidRDefault="00D0384D" w:rsidP="00D0384D"/>
          <w:p w14:paraId="20A389E8" w14:textId="298C1507" w:rsidR="00CC6009" w:rsidRPr="00D0384D" w:rsidRDefault="00CC6009" w:rsidP="00D0384D">
            <w:pPr>
              <w:pStyle w:val="ListParagraph"/>
              <w:numPr>
                <w:ilvl w:val="0"/>
                <w:numId w:val="8"/>
              </w:numPr>
              <w:rPr>
                <w:b/>
                <w:bCs/>
              </w:rPr>
            </w:pPr>
            <w:r w:rsidRPr="00D0384D">
              <w:rPr>
                <w:b/>
                <w:bCs/>
              </w:rPr>
              <w:t xml:space="preserve">Expenditure by service </w:t>
            </w:r>
          </w:p>
          <w:p w14:paraId="3CEE558F" w14:textId="701DBFB0" w:rsidR="00CC6009" w:rsidRPr="00D0384D" w:rsidRDefault="00CC6009" w:rsidP="00D0384D">
            <w:pPr>
              <w:pStyle w:val="ListParagraph"/>
              <w:numPr>
                <w:ilvl w:val="0"/>
                <w:numId w:val="8"/>
              </w:numPr>
              <w:rPr>
                <w:b/>
                <w:bCs/>
              </w:rPr>
            </w:pPr>
            <w:r w:rsidRPr="00D0384D">
              <w:rPr>
                <w:b/>
                <w:bCs/>
              </w:rPr>
              <w:t xml:space="preserve">Number of consignments by service </w:t>
            </w:r>
          </w:p>
          <w:p w14:paraId="1E552558" w14:textId="4EE9EEA8" w:rsidR="00CC6009" w:rsidRPr="00D0384D" w:rsidRDefault="00CC6009" w:rsidP="00D0384D">
            <w:pPr>
              <w:pStyle w:val="ListParagraph"/>
              <w:numPr>
                <w:ilvl w:val="0"/>
                <w:numId w:val="8"/>
              </w:numPr>
              <w:rPr>
                <w:b/>
                <w:bCs/>
              </w:rPr>
            </w:pPr>
            <w:r w:rsidRPr="00D0384D">
              <w:rPr>
                <w:b/>
                <w:bCs/>
              </w:rPr>
              <w:t xml:space="preserve">Number of parcels within a consignment </w:t>
            </w:r>
          </w:p>
          <w:p w14:paraId="43866501" w14:textId="57C5F9E2" w:rsidR="00CC6009" w:rsidRPr="00D0384D" w:rsidRDefault="00CC6009" w:rsidP="00D0384D">
            <w:pPr>
              <w:pStyle w:val="ListParagraph"/>
              <w:numPr>
                <w:ilvl w:val="0"/>
                <w:numId w:val="8"/>
              </w:numPr>
              <w:rPr>
                <w:b/>
                <w:bCs/>
              </w:rPr>
            </w:pPr>
            <w:r w:rsidRPr="00D0384D">
              <w:rPr>
                <w:b/>
                <w:bCs/>
              </w:rPr>
              <w:t xml:space="preserve">Total weight of parcel </w:t>
            </w:r>
          </w:p>
          <w:p w14:paraId="75A2D1B6" w14:textId="77777777" w:rsidR="00D0384D" w:rsidRPr="00D0384D" w:rsidRDefault="00CC6009" w:rsidP="00D0384D">
            <w:pPr>
              <w:pStyle w:val="ListParagraph"/>
              <w:numPr>
                <w:ilvl w:val="0"/>
                <w:numId w:val="8"/>
              </w:numPr>
              <w:rPr>
                <w:b/>
                <w:bCs/>
              </w:rPr>
            </w:pPr>
            <w:r w:rsidRPr="00D0384D">
              <w:rPr>
                <w:b/>
                <w:bCs/>
              </w:rPr>
              <w:t xml:space="preserve">Average order value of consignment </w:t>
            </w:r>
          </w:p>
          <w:p w14:paraId="747C6E37" w14:textId="7FDDA8D4" w:rsidR="00CC6009" w:rsidRPr="00D0384D" w:rsidRDefault="00CC6009" w:rsidP="00D0384D">
            <w:pPr>
              <w:pStyle w:val="ListParagraph"/>
              <w:numPr>
                <w:ilvl w:val="0"/>
                <w:numId w:val="8"/>
              </w:numPr>
              <w:rPr>
                <w:b/>
                <w:bCs/>
              </w:rPr>
            </w:pPr>
            <w:r w:rsidRPr="00D0384D">
              <w:rPr>
                <w:b/>
                <w:bCs/>
              </w:rPr>
              <w:t xml:space="preserve">Average distance for same day delivery </w:t>
            </w:r>
          </w:p>
          <w:p w14:paraId="649D2EA3" w14:textId="7175B73A" w:rsidR="00CC6009" w:rsidRPr="00D0384D" w:rsidRDefault="00CC6009" w:rsidP="00D0384D">
            <w:pPr>
              <w:pStyle w:val="ListParagraph"/>
              <w:numPr>
                <w:ilvl w:val="0"/>
                <w:numId w:val="8"/>
              </w:numPr>
              <w:rPr>
                <w:b/>
                <w:bCs/>
              </w:rPr>
            </w:pPr>
            <w:r w:rsidRPr="00D0384D">
              <w:rPr>
                <w:b/>
                <w:bCs/>
              </w:rPr>
              <w:t xml:space="preserve">Payment terms from customer by cost centre </w:t>
            </w:r>
          </w:p>
          <w:p w14:paraId="55629548" w14:textId="2D14ACBB" w:rsidR="00CC6009" w:rsidRPr="00D0384D" w:rsidRDefault="00CC6009" w:rsidP="00D0384D">
            <w:pPr>
              <w:pStyle w:val="ListParagraph"/>
              <w:numPr>
                <w:ilvl w:val="0"/>
                <w:numId w:val="8"/>
              </w:numPr>
              <w:rPr>
                <w:b/>
                <w:bCs/>
              </w:rPr>
            </w:pPr>
            <w:r w:rsidRPr="00D0384D">
              <w:rPr>
                <w:b/>
                <w:bCs/>
              </w:rPr>
              <w:t>Payment terms to supplier</w:t>
            </w:r>
          </w:p>
          <w:p w14:paraId="5E827CBC" w14:textId="022A1C96" w:rsidR="00CC6009" w:rsidRPr="00D0384D" w:rsidRDefault="00CC6009" w:rsidP="00D0384D">
            <w:pPr>
              <w:pStyle w:val="ListParagraph"/>
              <w:numPr>
                <w:ilvl w:val="0"/>
                <w:numId w:val="8"/>
              </w:numPr>
              <w:rPr>
                <w:b/>
                <w:bCs/>
              </w:rPr>
            </w:pPr>
            <w:r w:rsidRPr="00D0384D">
              <w:rPr>
                <w:b/>
                <w:bCs/>
              </w:rPr>
              <w:t xml:space="preserve">Cost savings </w:t>
            </w:r>
          </w:p>
          <w:p w14:paraId="4EF83367" w14:textId="26342047" w:rsidR="00CC6009" w:rsidRPr="00D0384D" w:rsidRDefault="00CC6009" w:rsidP="00D0384D">
            <w:pPr>
              <w:pStyle w:val="ListParagraph"/>
              <w:numPr>
                <w:ilvl w:val="0"/>
                <w:numId w:val="8"/>
              </w:numPr>
              <w:rPr>
                <w:b/>
                <w:bCs/>
              </w:rPr>
            </w:pPr>
            <w:r w:rsidRPr="00D0384D">
              <w:rPr>
                <w:b/>
                <w:bCs/>
              </w:rPr>
              <w:t xml:space="preserve">Sustainability, including social, economic and environmental considerations </w:t>
            </w:r>
          </w:p>
          <w:p w14:paraId="22D8E0F8" w14:textId="5C7A7B3E" w:rsidR="00CC6009" w:rsidRPr="00D0384D" w:rsidRDefault="00CC6009" w:rsidP="00D0384D">
            <w:pPr>
              <w:pStyle w:val="ListParagraph"/>
              <w:numPr>
                <w:ilvl w:val="0"/>
                <w:numId w:val="8"/>
              </w:numPr>
              <w:rPr>
                <w:b/>
                <w:bCs/>
              </w:rPr>
            </w:pPr>
            <w:r w:rsidRPr="00D0384D">
              <w:rPr>
                <w:b/>
                <w:bCs/>
              </w:rPr>
              <w:t xml:space="preserve">% Order fulfilment for time specified service </w:t>
            </w:r>
          </w:p>
          <w:p w14:paraId="753B48CE" w14:textId="0B20D552" w:rsidR="00CC6009" w:rsidRPr="00D0384D" w:rsidRDefault="00CC6009" w:rsidP="00D0384D">
            <w:pPr>
              <w:pStyle w:val="ListParagraph"/>
              <w:numPr>
                <w:ilvl w:val="0"/>
                <w:numId w:val="8"/>
              </w:numPr>
              <w:rPr>
                <w:b/>
                <w:bCs/>
              </w:rPr>
            </w:pPr>
            <w:r w:rsidRPr="00D0384D">
              <w:rPr>
                <w:b/>
                <w:bCs/>
              </w:rPr>
              <w:t xml:space="preserve">No of failed jobs, reasons for failure. </w:t>
            </w:r>
          </w:p>
          <w:p w14:paraId="7E65084F" w14:textId="0E45626E" w:rsidR="00CC6009" w:rsidRPr="00D0384D" w:rsidRDefault="00CC6009" w:rsidP="00D0384D">
            <w:pPr>
              <w:pStyle w:val="ListParagraph"/>
              <w:numPr>
                <w:ilvl w:val="0"/>
                <w:numId w:val="8"/>
              </w:numPr>
              <w:rPr>
                <w:b/>
                <w:bCs/>
              </w:rPr>
            </w:pPr>
            <w:r w:rsidRPr="00D0384D">
              <w:rPr>
                <w:b/>
                <w:bCs/>
              </w:rPr>
              <w:t xml:space="preserve">Customer complaints, detailing resolution and time of resolution </w:t>
            </w:r>
          </w:p>
          <w:p w14:paraId="04FCBA1C" w14:textId="55CA9C41" w:rsidR="00CC6009" w:rsidRPr="00D0384D" w:rsidRDefault="00CC6009" w:rsidP="00D0384D">
            <w:pPr>
              <w:pStyle w:val="ListParagraph"/>
              <w:numPr>
                <w:ilvl w:val="0"/>
                <w:numId w:val="8"/>
              </w:numPr>
              <w:rPr>
                <w:b/>
                <w:bCs/>
              </w:rPr>
            </w:pPr>
            <w:r w:rsidRPr="00D0384D">
              <w:rPr>
                <w:b/>
                <w:bCs/>
              </w:rPr>
              <w:t xml:space="preserve">Health &amp; Safety – Reportable incidents, near misses and other </w:t>
            </w:r>
            <w:proofErr w:type="spellStart"/>
            <w:r w:rsidRPr="00D0384D">
              <w:rPr>
                <w:b/>
                <w:bCs/>
              </w:rPr>
              <w:t>H&amp;S</w:t>
            </w:r>
            <w:proofErr w:type="spellEnd"/>
            <w:r w:rsidRPr="00D0384D">
              <w:rPr>
                <w:b/>
                <w:bCs/>
              </w:rPr>
              <w:t xml:space="preserve"> issues </w:t>
            </w:r>
          </w:p>
          <w:p w14:paraId="6E7C7DF0" w14:textId="24592FA8" w:rsidR="00CC6009" w:rsidRPr="00D0384D" w:rsidRDefault="00CC6009" w:rsidP="00D0384D">
            <w:pPr>
              <w:pStyle w:val="ListParagraph"/>
              <w:numPr>
                <w:ilvl w:val="0"/>
                <w:numId w:val="8"/>
              </w:numPr>
              <w:rPr>
                <w:b/>
                <w:bCs/>
              </w:rPr>
            </w:pPr>
            <w:proofErr w:type="spellStart"/>
            <w:r w:rsidRPr="00D0384D">
              <w:rPr>
                <w:b/>
                <w:bCs/>
              </w:rPr>
              <w:t>KPI’s</w:t>
            </w:r>
            <w:proofErr w:type="spellEnd"/>
            <w:r w:rsidRPr="00D0384D">
              <w:rPr>
                <w:b/>
                <w:bCs/>
              </w:rPr>
              <w:t xml:space="preserve"> &amp; Continuous Improvements - (Report to be developed and agreed with supplier and Lead Contracting Authority) </w:t>
            </w:r>
          </w:p>
          <w:p w14:paraId="38F8621D" w14:textId="77777777" w:rsidR="00CC6009" w:rsidRPr="00CC6009" w:rsidRDefault="00CC6009" w:rsidP="00CC6009">
            <w:pPr>
              <w:ind w:left="360"/>
            </w:pPr>
          </w:p>
        </w:tc>
      </w:tr>
      <w:tr w:rsidR="00CC6009" w:rsidRPr="00CC6009" w14:paraId="6E037B60" w14:textId="77777777" w:rsidTr="00CC6009">
        <w:trPr>
          <w:trHeight w:val="683"/>
        </w:trPr>
        <w:tc>
          <w:tcPr>
            <w:tcW w:w="8897" w:type="dxa"/>
            <w:tcBorders>
              <w:top w:val="none" w:sz="6" w:space="0" w:color="auto"/>
              <w:bottom w:val="none" w:sz="6" w:space="0" w:color="auto"/>
            </w:tcBorders>
          </w:tcPr>
          <w:p w14:paraId="36F7529E" w14:textId="77777777" w:rsidR="00CC6009" w:rsidRDefault="00CC6009" w:rsidP="00CC6009">
            <w:r w:rsidRPr="00CC6009">
              <w:t xml:space="preserve">Confirm your ability to meet the requirement: Yes No (If you choose “No”, you should qualify that answer and note that your tender may be rejected as a non-compliant bid.) </w:t>
            </w:r>
          </w:p>
          <w:p w14:paraId="4DDC2F42" w14:textId="77777777" w:rsidR="00CC6009" w:rsidRPr="00CC6009" w:rsidRDefault="00CC6009" w:rsidP="00CC6009"/>
          <w:p w14:paraId="492945FF" w14:textId="77777777" w:rsidR="00CC6009" w:rsidRPr="00CC6009" w:rsidRDefault="00CC6009" w:rsidP="00CC6009">
            <w:r w:rsidRPr="00CC6009">
              <w:t xml:space="preserve"> Please attach proposed Template and format </w:t>
            </w:r>
          </w:p>
          <w:p w14:paraId="4F6F363B" w14:textId="77777777" w:rsidR="00CC6009" w:rsidRPr="00CC6009" w:rsidRDefault="00CC6009" w:rsidP="00CC6009"/>
          <w:p w14:paraId="7880532A" w14:textId="77777777" w:rsidR="00CC6009" w:rsidRPr="00CC6009" w:rsidRDefault="00CC6009" w:rsidP="00CC6009">
            <w:r w:rsidRPr="00CC6009">
              <w:t xml:space="preserve">Over-all Weighting: 1% </w:t>
            </w:r>
          </w:p>
        </w:tc>
      </w:tr>
    </w:tbl>
    <w:p w14:paraId="2D3BA3F5" w14:textId="77777777" w:rsidR="00CC6009" w:rsidRPr="00CC6009" w:rsidRDefault="00CC6009" w:rsidP="00CC6009"/>
    <w:p w14:paraId="694C9DA4" w14:textId="77777777" w:rsidR="00CC6009" w:rsidRDefault="00CC6009" w:rsidP="00B561C0"/>
    <w:p w14:paraId="27A42709" w14:textId="77777777" w:rsidR="00D0384D" w:rsidRDefault="00D0384D" w:rsidP="00B561C0"/>
    <w:p w14:paraId="72BB9DE3" w14:textId="77777777" w:rsidR="00D0384D" w:rsidRDefault="00D0384D" w:rsidP="00B561C0"/>
    <w:p w14:paraId="7055352A" w14:textId="77777777" w:rsidR="00E96FAB" w:rsidRDefault="00E96FAB" w:rsidP="00B561C0">
      <w:pPr>
        <w:rPr>
          <w:b/>
          <w:bCs/>
        </w:rPr>
      </w:pPr>
    </w:p>
    <w:p w14:paraId="750983F9" w14:textId="77777777" w:rsidR="00E96FAB" w:rsidRDefault="00E96FAB" w:rsidP="00B561C0">
      <w:pPr>
        <w:rPr>
          <w:b/>
          <w:bCs/>
        </w:rPr>
      </w:pPr>
    </w:p>
    <w:p w14:paraId="2EF662DF" w14:textId="0FE59172" w:rsidR="00D0384D" w:rsidRPr="00D0384D" w:rsidRDefault="00D0384D" w:rsidP="00B561C0">
      <w:pPr>
        <w:rPr>
          <w:b/>
          <w:bCs/>
        </w:rPr>
      </w:pPr>
      <w:r w:rsidRPr="00D0384D">
        <w:rPr>
          <w:b/>
          <w:bCs/>
        </w:rPr>
        <w:t>Example of Key Performance Indicators</w:t>
      </w:r>
      <w:r w:rsidR="001D4F97">
        <w:rPr>
          <w:b/>
          <w:bCs/>
        </w:rPr>
        <w:t xml:space="preserve"> (</w:t>
      </w:r>
      <w:proofErr w:type="spellStart"/>
      <w:r w:rsidR="001D4F97">
        <w:rPr>
          <w:b/>
          <w:bCs/>
        </w:rPr>
        <w:t>KPIs</w:t>
      </w:r>
      <w:proofErr w:type="spellEnd"/>
      <w:r w:rsidR="001D4F97">
        <w:rPr>
          <w:b/>
          <w:bCs/>
        </w:rPr>
        <w:t>)</w:t>
      </w:r>
      <w:r w:rsidRPr="00D0384D">
        <w:rPr>
          <w:b/>
          <w:bCs/>
        </w:rPr>
        <w:t xml:space="preserve"> included in an ITT</w:t>
      </w:r>
    </w:p>
    <w:p w14:paraId="0F86F24C" w14:textId="77777777" w:rsidR="00D0384D" w:rsidRDefault="00D0384D" w:rsidP="00B561C0"/>
    <w:p w14:paraId="5F444D64" w14:textId="77777777" w:rsidR="00D0384D" w:rsidRDefault="00D0384D" w:rsidP="0050466E">
      <w:r w:rsidRPr="00D0384D">
        <w:rPr>
          <w:b/>
          <w:bCs/>
        </w:rPr>
        <w:t xml:space="preserve">Quarterly </w:t>
      </w:r>
      <w:r w:rsidRPr="00D0384D">
        <w:t xml:space="preserve">meetings will be held between Procurement and the supplier’s representative to review and improve the performance of the Agreement against the agreed service levels as measured through Key Performance Indicators. Quarterly reports detailed in 2.5.3 will be provided by the supplier. </w:t>
      </w:r>
    </w:p>
    <w:p w14:paraId="2A71C37E" w14:textId="77777777" w:rsidR="001D4F97" w:rsidRPr="00D0384D" w:rsidRDefault="001D4F97" w:rsidP="0050466E"/>
    <w:p w14:paraId="5A59DB4E" w14:textId="79D129CD" w:rsidR="00D0384D" w:rsidRPr="00D0384D" w:rsidRDefault="00D0384D" w:rsidP="001D4F97">
      <w:r w:rsidRPr="00D0384D">
        <w:t>This section indicates our proposed</w:t>
      </w:r>
      <w:r w:rsidR="001D4F97">
        <w:t xml:space="preserve"> </w:t>
      </w:r>
      <w:proofErr w:type="spellStart"/>
      <w:r w:rsidRPr="00D0384D">
        <w:t>KPI</w:t>
      </w:r>
      <w:r w:rsidR="001D4F97">
        <w:t>s</w:t>
      </w:r>
      <w:proofErr w:type="spellEnd"/>
      <w:r w:rsidRPr="00D0384D">
        <w:t xml:space="preserve"> and expected performance targets. </w:t>
      </w:r>
    </w:p>
    <w:tbl>
      <w:tblPr>
        <w:tblW w:w="934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43"/>
        <w:gridCol w:w="3544"/>
        <w:gridCol w:w="2857"/>
      </w:tblGrid>
      <w:tr w:rsidR="00D0384D" w:rsidRPr="00D0384D" w14:paraId="3AA90795" w14:textId="77777777" w:rsidTr="000B47D4">
        <w:trPr>
          <w:trHeight w:val="112"/>
        </w:trPr>
        <w:tc>
          <w:tcPr>
            <w:tcW w:w="2943" w:type="dxa"/>
            <w:tcBorders>
              <w:top w:val="none" w:sz="6" w:space="0" w:color="auto"/>
              <w:bottom w:val="none" w:sz="6" w:space="0" w:color="auto"/>
              <w:right w:val="none" w:sz="6" w:space="0" w:color="auto"/>
            </w:tcBorders>
          </w:tcPr>
          <w:p w14:paraId="443F2158" w14:textId="77777777" w:rsidR="00D0384D" w:rsidRPr="00D0384D" w:rsidRDefault="00D0384D" w:rsidP="001D4F97">
            <w:r w:rsidRPr="00D0384D">
              <w:rPr>
                <w:b/>
                <w:bCs/>
              </w:rPr>
              <w:t xml:space="preserve">Indicative Performance Indicators Service Function </w:t>
            </w:r>
          </w:p>
        </w:tc>
        <w:tc>
          <w:tcPr>
            <w:tcW w:w="3544" w:type="dxa"/>
            <w:tcBorders>
              <w:top w:val="none" w:sz="6" w:space="0" w:color="auto"/>
              <w:left w:val="none" w:sz="6" w:space="0" w:color="auto"/>
              <w:bottom w:val="none" w:sz="6" w:space="0" w:color="auto"/>
              <w:right w:val="none" w:sz="6" w:space="0" w:color="auto"/>
            </w:tcBorders>
          </w:tcPr>
          <w:p w14:paraId="44EEF6EC" w14:textId="77777777" w:rsidR="00D0384D" w:rsidRPr="00D0384D" w:rsidRDefault="00D0384D" w:rsidP="001D4F97">
            <w:r w:rsidRPr="00D0384D">
              <w:rPr>
                <w:b/>
                <w:bCs/>
              </w:rPr>
              <w:t xml:space="preserve">Key Performance Indicator </w:t>
            </w:r>
          </w:p>
        </w:tc>
        <w:tc>
          <w:tcPr>
            <w:tcW w:w="2857" w:type="dxa"/>
            <w:tcBorders>
              <w:top w:val="none" w:sz="6" w:space="0" w:color="auto"/>
              <w:left w:val="none" w:sz="6" w:space="0" w:color="auto"/>
              <w:bottom w:val="none" w:sz="6" w:space="0" w:color="auto"/>
            </w:tcBorders>
          </w:tcPr>
          <w:p w14:paraId="1E83A04A" w14:textId="77777777" w:rsidR="00D0384D" w:rsidRPr="00D0384D" w:rsidRDefault="00D0384D" w:rsidP="001D4F97">
            <w:r w:rsidRPr="00D0384D">
              <w:rPr>
                <w:b/>
                <w:bCs/>
              </w:rPr>
              <w:t xml:space="preserve">Target Level </w:t>
            </w:r>
          </w:p>
        </w:tc>
      </w:tr>
      <w:tr w:rsidR="00D0384D" w:rsidRPr="00D0384D" w14:paraId="2D0ECD2E" w14:textId="77777777" w:rsidTr="000B47D4">
        <w:trPr>
          <w:trHeight w:val="250"/>
        </w:trPr>
        <w:tc>
          <w:tcPr>
            <w:tcW w:w="2943" w:type="dxa"/>
            <w:tcBorders>
              <w:top w:val="none" w:sz="6" w:space="0" w:color="auto"/>
              <w:bottom w:val="none" w:sz="6" w:space="0" w:color="auto"/>
              <w:right w:val="none" w:sz="6" w:space="0" w:color="auto"/>
            </w:tcBorders>
          </w:tcPr>
          <w:p w14:paraId="0194AAA9" w14:textId="77777777" w:rsidR="00D0384D" w:rsidRPr="00D0384D" w:rsidRDefault="00D0384D" w:rsidP="001D4F97">
            <w:r w:rsidRPr="00D0384D">
              <w:rPr>
                <w:b/>
                <w:bCs/>
              </w:rPr>
              <w:t xml:space="preserve">Management Information </w:t>
            </w:r>
          </w:p>
        </w:tc>
        <w:tc>
          <w:tcPr>
            <w:tcW w:w="3544" w:type="dxa"/>
            <w:tcBorders>
              <w:top w:val="none" w:sz="6" w:space="0" w:color="auto"/>
              <w:left w:val="none" w:sz="6" w:space="0" w:color="auto"/>
              <w:bottom w:val="none" w:sz="6" w:space="0" w:color="auto"/>
              <w:right w:val="none" w:sz="6" w:space="0" w:color="auto"/>
            </w:tcBorders>
          </w:tcPr>
          <w:p w14:paraId="3F63CC78" w14:textId="77777777" w:rsidR="00D0384D" w:rsidRPr="00D0384D" w:rsidRDefault="00D0384D" w:rsidP="001D4F97">
            <w:r w:rsidRPr="00D0384D">
              <w:t xml:space="preserve">Contractor to make available quarterly online reports and information. </w:t>
            </w:r>
          </w:p>
        </w:tc>
        <w:tc>
          <w:tcPr>
            <w:tcW w:w="2857" w:type="dxa"/>
            <w:tcBorders>
              <w:top w:val="none" w:sz="6" w:space="0" w:color="auto"/>
              <w:left w:val="none" w:sz="6" w:space="0" w:color="auto"/>
              <w:bottom w:val="none" w:sz="6" w:space="0" w:color="auto"/>
            </w:tcBorders>
          </w:tcPr>
          <w:p w14:paraId="21CA75E9" w14:textId="6F1A288F" w:rsidR="00D0384D" w:rsidRDefault="00D0384D" w:rsidP="001120D1">
            <w:pPr>
              <w:pStyle w:val="ListParagraph"/>
              <w:numPr>
                <w:ilvl w:val="0"/>
                <w:numId w:val="9"/>
              </w:numPr>
            </w:pPr>
            <w:r w:rsidRPr="00D0384D">
              <w:t xml:space="preserve">Data provided by the 10th day of the appropriate month </w:t>
            </w:r>
          </w:p>
          <w:p w14:paraId="72A7DE79" w14:textId="04AFD46A" w:rsidR="001120D1" w:rsidRPr="00D0384D" w:rsidRDefault="000B47D4" w:rsidP="001120D1">
            <w:pPr>
              <w:pStyle w:val="ListParagraph"/>
              <w:numPr>
                <w:ilvl w:val="0"/>
                <w:numId w:val="9"/>
              </w:numPr>
            </w:pPr>
            <w:r w:rsidRPr="00D0384D">
              <w:t>In the format required by Authority</w:t>
            </w:r>
          </w:p>
        </w:tc>
      </w:tr>
      <w:tr w:rsidR="00D0384D" w:rsidRPr="00D0384D" w14:paraId="056DB46A" w14:textId="77777777" w:rsidTr="000B47D4">
        <w:trPr>
          <w:trHeight w:val="249"/>
        </w:trPr>
        <w:tc>
          <w:tcPr>
            <w:tcW w:w="2943" w:type="dxa"/>
            <w:tcBorders>
              <w:top w:val="none" w:sz="6" w:space="0" w:color="auto"/>
              <w:bottom w:val="none" w:sz="6" w:space="0" w:color="auto"/>
              <w:right w:val="none" w:sz="6" w:space="0" w:color="auto"/>
            </w:tcBorders>
          </w:tcPr>
          <w:p w14:paraId="6327FDC4" w14:textId="77777777" w:rsidR="00D0384D" w:rsidRPr="00D0384D" w:rsidRDefault="00D0384D" w:rsidP="000B47D4">
            <w:r w:rsidRPr="00D0384D">
              <w:rPr>
                <w:b/>
                <w:bCs/>
              </w:rPr>
              <w:t xml:space="preserve">Order Fulfilment </w:t>
            </w:r>
          </w:p>
        </w:tc>
        <w:tc>
          <w:tcPr>
            <w:tcW w:w="3544" w:type="dxa"/>
            <w:tcBorders>
              <w:top w:val="none" w:sz="6" w:space="0" w:color="auto"/>
              <w:left w:val="none" w:sz="6" w:space="0" w:color="auto"/>
              <w:bottom w:val="none" w:sz="6" w:space="0" w:color="auto"/>
              <w:right w:val="none" w:sz="6" w:space="0" w:color="auto"/>
            </w:tcBorders>
          </w:tcPr>
          <w:p w14:paraId="103F354D" w14:textId="77777777" w:rsidR="00D0384D" w:rsidRPr="00D0384D" w:rsidRDefault="00D0384D" w:rsidP="000B47D4">
            <w:r w:rsidRPr="00D0384D">
              <w:t xml:space="preserve">A minimum order fulfilment service level of 98% will be required for all orders. </w:t>
            </w:r>
          </w:p>
        </w:tc>
        <w:tc>
          <w:tcPr>
            <w:tcW w:w="2857" w:type="dxa"/>
            <w:tcBorders>
              <w:top w:val="none" w:sz="6" w:space="0" w:color="auto"/>
              <w:left w:val="none" w:sz="6" w:space="0" w:color="auto"/>
              <w:bottom w:val="none" w:sz="6" w:space="0" w:color="auto"/>
            </w:tcBorders>
          </w:tcPr>
          <w:p w14:paraId="63EC906E" w14:textId="77777777" w:rsidR="00D0384D" w:rsidRPr="00D0384D" w:rsidRDefault="00D0384D" w:rsidP="000B47D4">
            <w:r w:rsidRPr="00D0384D">
              <w:t xml:space="preserve">98% of orders </w:t>
            </w:r>
          </w:p>
        </w:tc>
      </w:tr>
      <w:tr w:rsidR="00D0384D" w:rsidRPr="00D0384D" w14:paraId="11323305" w14:textId="77777777" w:rsidTr="000B47D4">
        <w:trPr>
          <w:trHeight w:val="388"/>
        </w:trPr>
        <w:tc>
          <w:tcPr>
            <w:tcW w:w="2943" w:type="dxa"/>
            <w:tcBorders>
              <w:top w:val="none" w:sz="6" w:space="0" w:color="auto"/>
              <w:bottom w:val="none" w:sz="6" w:space="0" w:color="auto"/>
              <w:right w:val="none" w:sz="6" w:space="0" w:color="auto"/>
            </w:tcBorders>
          </w:tcPr>
          <w:p w14:paraId="5CAF01ED" w14:textId="77777777" w:rsidR="00D0384D" w:rsidRPr="00D0384D" w:rsidRDefault="00D0384D" w:rsidP="000B47D4">
            <w:r w:rsidRPr="00D0384D">
              <w:rPr>
                <w:b/>
                <w:bCs/>
              </w:rPr>
              <w:t xml:space="preserve">Complaints </w:t>
            </w:r>
          </w:p>
        </w:tc>
        <w:tc>
          <w:tcPr>
            <w:tcW w:w="3544" w:type="dxa"/>
            <w:tcBorders>
              <w:top w:val="none" w:sz="6" w:space="0" w:color="auto"/>
              <w:left w:val="none" w:sz="6" w:space="0" w:color="auto"/>
              <w:bottom w:val="none" w:sz="6" w:space="0" w:color="auto"/>
              <w:right w:val="none" w:sz="6" w:space="0" w:color="auto"/>
            </w:tcBorders>
          </w:tcPr>
          <w:p w14:paraId="40E9BC83" w14:textId="77777777" w:rsidR="00D0384D" w:rsidRPr="00D0384D" w:rsidRDefault="00D0384D" w:rsidP="000B47D4">
            <w:r w:rsidRPr="00D0384D">
              <w:t xml:space="preserve">Complaints to be escalated and resolved as per agreed procedure </w:t>
            </w:r>
          </w:p>
        </w:tc>
        <w:tc>
          <w:tcPr>
            <w:tcW w:w="2857" w:type="dxa"/>
            <w:tcBorders>
              <w:top w:val="none" w:sz="6" w:space="0" w:color="auto"/>
              <w:left w:val="none" w:sz="6" w:space="0" w:color="auto"/>
              <w:bottom w:val="none" w:sz="6" w:space="0" w:color="auto"/>
            </w:tcBorders>
          </w:tcPr>
          <w:p w14:paraId="61F1B824" w14:textId="77777777" w:rsidR="00D0384D" w:rsidRPr="00D0384D" w:rsidRDefault="00D0384D" w:rsidP="000B47D4">
            <w:r w:rsidRPr="00D0384D">
              <w:t xml:space="preserve">98% of collection &amp; Deliveries to have no complaint left unresolved over 5 days from date of complaint recorded. </w:t>
            </w:r>
          </w:p>
        </w:tc>
      </w:tr>
      <w:tr w:rsidR="00D0384D" w:rsidRPr="00D0384D" w14:paraId="61ED0CED" w14:textId="77777777" w:rsidTr="000B47D4">
        <w:trPr>
          <w:trHeight w:val="388"/>
        </w:trPr>
        <w:tc>
          <w:tcPr>
            <w:tcW w:w="2943" w:type="dxa"/>
            <w:tcBorders>
              <w:top w:val="none" w:sz="6" w:space="0" w:color="auto"/>
              <w:bottom w:val="none" w:sz="6" w:space="0" w:color="auto"/>
              <w:right w:val="none" w:sz="6" w:space="0" w:color="auto"/>
            </w:tcBorders>
          </w:tcPr>
          <w:p w14:paraId="4DDBF68C" w14:textId="77777777" w:rsidR="00D0384D" w:rsidRPr="00D0384D" w:rsidRDefault="00D0384D" w:rsidP="00D0384D">
            <w:pPr>
              <w:numPr>
                <w:ilvl w:val="0"/>
                <w:numId w:val="5"/>
              </w:numPr>
              <w:tabs>
                <w:tab w:val="clear" w:pos="360"/>
              </w:tabs>
            </w:pPr>
            <w:r w:rsidRPr="00D0384D">
              <w:rPr>
                <w:b/>
                <w:bCs/>
              </w:rPr>
              <w:t xml:space="preserve">Payment </w:t>
            </w:r>
          </w:p>
        </w:tc>
        <w:tc>
          <w:tcPr>
            <w:tcW w:w="3544" w:type="dxa"/>
            <w:tcBorders>
              <w:top w:val="none" w:sz="6" w:space="0" w:color="auto"/>
              <w:left w:val="none" w:sz="6" w:space="0" w:color="auto"/>
              <w:bottom w:val="none" w:sz="6" w:space="0" w:color="auto"/>
              <w:right w:val="none" w:sz="6" w:space="0" w:color="auto"/>
            </w:tcBorders>
          </w:tcPr>
          <w:p w14:paraId="0A8E2763" w14:textId="77777777" w:rsidR="00D0384D" w:rsidRPr="00D0384D" w:rsidRDefault="00D0384D" w:rsidP="000B47D4">
            <w:r w:rsidRPr="00D0384D">
              <w:t xml:space="preserve">Prompt payment of sub-contractors and/or consortia members (if applicable). Maximum of 30 days from receipt of payment from client, 10 days target </w:t>
            </w:r>
          </w:p>
        </w:tc>
        <w:tc>
          <w:tcPr>
            <w:tcW w:w="2857" w:type="dxa"/>
            <w:tcBorders>
              <w:top w:val="none" w:sz="6" w:space="0" w:color="auto"/>
              <w:left w:val="none" w:sz="6" w:space="0" w:color="auto"/>
              <w:bottom w:val="none" w:sz="6" w:space="0" w:color="auto"/>
            </w:tcBorders>
          </w:tcPr>
          <w:p w14:paraId="0A89C23B" w14:textId="77777777" w:rsidR="00D0384D" w:rsidRPr="00D0384D" w:rsidRDefault="00D0384D" w:rsidP="000B47D4">
            <w:r w:rsidRPr="00D0384D">
              <w:t xml:space="preserve">100% within 30 days. </w:t>
            </w:r>
          </w:p>
        </w:tc>
      </w:tr>
      <w:tr w:rsidR="00D0384D" w:rsidRPr="00D0384D" w14:paraId="1EA91468" w14:textId="77777777" w:rsidTr="000B47D4">
        <w:trPr>
          <w:trHeight w:val="250"/>
        </w:trPr>
        <w:tc>
          <w:tcPr>
            <w:tcW w:w="2943" w:type="dxa"/>
            <w:tcBorders>
              <w:top w:val="none" w:sz="6" w:space="0" w:color="auto"/>
              <w:bottom w:val="none" w:sz="6" w:space="0" w:color="auto"/>
              <w:right w:val="none" w:sz="6" w:space="0" w:color="auto"/>
            </w:tcBorders>
          </w:tcPr>
          <w:p w14:paraId="5E15C27A" w14:textId="77777777" w:rsidR="00D0384D" w:rsidRPr="00D0384D" w:rsidRDefault="00D0384D" w:rsidP="000B47D4">
            <w:r w:rsidRPr="00D0384D">
              <w:rPr>
                <w:b/>
                <w:bCs/>
              </w:rPr>
              <w:t xml:space="preserve">Customer Satisfaction </w:t>
            </w:r>
          </w:p>
        </w:tc>
        <w:tc>
          <w:tcPr>
            <w:tcW w:w="3544" w:type="dxa"/>
            <w:tcBorders>
              <w:top w:val="none" w:sz="6" w:space="0" w:color="auto"/>
              <w:left w:val="none" w:sz="6" w:space="0" w:color="auto"/>
              <w:bottom w:val="none" w:sz="6" w:space="0" w:color="auto"/>
              <w:right w:val="none" w:sz="6" w:space="0" w:color="auto"/>
            </w:tcBorders>
          </w:tcPr>
          <w:p w14:paraId="03D2AF1F" w14:textId="77777777" w:rsidR="00D0384D" w:rsidRPr="00D0384D" w:rsidRDefault="00D0384D" w:rsidP="000B47D4">
            <w:r w:rsidRPr="00D0384D">
              <w:t xml:space="preserve">Customer Satisfaction Survey </w:t>
            </w:r>
          </w:p>
        </w:tc>
        <w:tc>
          <w:tcPr>
            <w:tcW w:w="2857" w:type="dxa"/>
            <w:tcBorders>
              <w:top w:val="none" w:sz="6" w:space="0" w:color="auto"/>
              <w:left w:val="none" w:sz="6" w:space="0" w:color="auto"/>
              <w:bottom w:val="none" w:sz="6" w:space="0" w:color="auto"/>
            </w:tcBorders>
          </w:tcPr>
          <w:p w14:paraId="4494E1D9" w14:textId="77777777" w:rsidR="00D0384D" w:rsidRPr="00D0384D" w:rsidRDefault="00D0384D" w:rsidP="000B47D4">
            <w:r w:rsidRPr="00D0384D">
              <w:t xml:space="preserve">Customer Satisfaction Index, to be agreed between and Supplier. </w:t>
            </w:r>
          </w:p>
        </w:tc>
      </w:tr>
      <w:tr w:rsidR="00D0384D" w:rsidRPr="00D0384D" w14:paraId="1B147F68" w14:textId="77777777" w:rsidTr="000B47D4">
        <w:trPr>
          <w:trHeight w:val="388"/>
        </w:trPr>
        <w:tc>
          <w:tcPr>
            <w:tcW w:w="2943" w:type="dxa"/>
            <w:tcBorders>
              <w:top w:val="none" w:sz="6" w:space="0" w:color="auto"/>
              <w:bottom w:val="none" w:sz="6" w:space="0" w:color="auto"/>
              <w:right w:val="none" w:sz="6" w:space="0" w:color="auto"/>
            </w:tcBorders>
          </w:tcPr>
          <w:p w14:paraId="578093B3" w14:textId="77777777" w:rsidR="00D0384D" w:rsidRPr="00D0384D" w:rsidRDefault="00D0384D" w:rsidP="000B47D4">
            <w:r w:rsidRPr="00D0384D">
              <w:rPr>
                <w:b/>
                <w:bCs/>
              </w:rPr>
              <w:t xml:space="preserve">Continuous Improvement &amp; Innovation </w:t>
            </w:r>
          </w:p>
        </w:tc>
        <w:tc>
          <w:tcPr>
            <w:tcW w:w="3544" w:type="dxa"/>
            <w:tcBorders>
              <w:top w:val="none" w:sz="6" w:space="0" w:color="auto"/>
              <w:left w:val="none" w:sz="6" w:space="0" w:color="auto"/>
              <w:bottom w:val="none" w:sz="6" w:space="0" w:color="auto"/>
              <w:right w:val="none" w:sz="6" w:space="0" w:color="auto"/>
            </w:tcBorders>
          </w:tcPr>
          <w:p w14:paraId="7AAF2386" w14:textId="77777777" w:rsidR="00D0384D" w:rsidRPr="00D0384D" w:rsidRDefault="00D0384D" w:rsidP="000B47D4">
            <w:r w:rsidRPr="00D0384D">
              <w:t xml:space="preserve">Contractor will work with the Authority/Clients to map full end to end supply chain and identify and prioritise supply chain initiatives throughout the life of the Framework Agreement. </w:t>
            </w:r>
          </w:p>
        </w:tc>
        <w:tc>
          <w:tcPr>
            <w:tcW w:w="2857" w:type="dxa"/>
            <w:tcBorders>
              <w:top w:val="none" w:sz="6" w:space="0" w:color="auto"/>
              <w:left w:val="none" w:sz="6" w:space="0" w:color="auto"/>
              <w:bottom w:val="none" w:sz="6" w:space="0" w:color="auto"/>
            </w:tcBorders>
          </w:tcPr>
          <w:p w14:paraId="2BF2C24B" w14:textId="77777777" w:rsidR="00D0384D" w:rsidRPr="00D0384D" w:rsidRDefault="00D0384D" w:rsidP="000B47D4">
            <w:r w:rsidRPr="00D0384D">
              <w:t xml:space="preserve">To be identified and agreed in partnership </w:t>
            </w:r>
          </w:p>
        </w:tc>
      </w:tr>
    </w:tbl>
    <w:p w14:paraId="68E3779D" w14:textId="77777777" w:rsidR="00D0384D" w:rsidRPr="009B7615" w:rsidRDefault="00D0384D" w:rsidP="00B561C0"/>
    <w:sectPr w:rsidR="00D0384D" w:rsidRPr="009B7615" w:rsidSect="00D0384D">
      <w:footerReference w:type="default" r:id="rId7"/>
      <w:pgSz w:w="11906" w:h="16838" w:code="9"/>
      <w:pgMar w:top="2127"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80E2A" w14:textId="77777777" w:rsidR="00844D26" w:rsidRDefault="00844D26" w:rsidP="000B47D4">
      <w:r>
        <w:separator/>
      </w:r>
    </w:p>
  </w:endnote>
  <w:endnote w:type="continuationSeparator" w:id="0">
    <w:p w14:paraId="4F905F2A" w14:textId="77777777" w:rsidR="00844D26" w:rsidRDefault="00844D26" w:rsidP="000B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9D87" w14:textId="77777777" w:rsidR="00785612" w:rsidRDefault="004D21D9" w:rsidP="004D21D9">
    <w:pPr>
      <w:pStyle w:val="Footer"/>
      <w:rPr>
        <w:rFonts w:cs="Arial"/>
        <w:b/>
        <w:bCs/>
        <w:color w:val="CC3300"/>
        <w:szCs w:val="24"/>
      </w:rPr>
    </w:pPr>
    <w:r w:rsidRPr="004D21D9">
      <w:rPr>
        <w:rFonts w:cs="Arial"/>
        <w:b/>
        <w:bCs/>
        <w:color w:val="CC3300"/>
        <w:szCs w:val="24"/>
      </w:rPr>
      <w:t xml:space="preserve"> </w:t>
    </w:r>
    <w:r>
      <w:rPr>
        <w:rFonts w:cs="Arial"/>
        <w:b/>
        <w:bCs/>
        <w:color w:val="CC3300"/>
        <w:szCs w:val="24"/>
      </w:rPr>
      <w:t xml:space="preserve">  </w:t>
    </w:r>
  </w:p>
  <w:p w14:paraId="1AFA47E9" w14:textId="4AB1D64C" w:rsidR="000B47D4" w:rsidRPr="00785612" w:rsidRDefault="00785612" w:rsidP="00785612">
    <w:pPr>
      <w:pStyle w:val="Footer"/>
      <w:ind w:left="-993" w:right="-472"/>
      <w:jc w:val="both"/>
    </w:pPr>
    <w:proofErr w:type="spellStart"/>
    <w:r w:rsidRPr="00785612">
      <w:rPr>
        <w:sz w:val="22"/>
        <w:szCs w:val="22"/>
      </w:rPr>
      <w:t>R3</w:t>
    </w:r>
    <w:proofErr w:type="spellEnd"/>
    <w:r w:rsidRPr="00785612">
      <w:rPr>
        <w:sz w:val="22"/>
        <w:szCs w:val="22"/>
      </w:rPr>
      <w:t xml:space="preserve">-163-A                                                                                                         </w:t>
    </w:r>
    <w:r w:rsidR="004D21D9" w:rsidRPr="00785612">
      <w:rPr>
        <w:rFonts w:cs="Arial"/>
        <w:b/>
        <w:bCs/>
        <w:color w:val="CC3300"/>
        <w:sz w:val="22"/>
        <w:szCs w:val="22"/>
      </w:rPr>
      <w:t xml:space="preserve"> </w:t>
    </w:r>
    <w:r>
      <w:rPr>
        <w:rFonts w:cs="Arial"/>
        <w:b/>
        <w:bCs/>
        <w:color w:val="CC3300"/>
        <w:sz w:val="22"/>
        <w:szCs w:val="22"/>
      </w:rPr>
      <w:t xml:space="preserve">       </w:t>
    </w:r>
    <w:r w:rsidR="004D21D9" w:rsidRPr="00785612">
      <w:rPr>
        <w:rFonts w:cs="Arial"/>
        <w:b/>
        <w:bCs/>
        <w:color w:val="CC3300"/>
        <w:sz w:val="22"/>
        <w:szCs w:val="22"/>
      </w:rPr>
      <w:t xml:space="preserve"> </w:t>
    </w:r>
    <w:r w:rsidR="004D21D9" w:rsidRPr="005A0A4E">
      <w:rPr>
        <w:rFonts w:cs="Arial"/>
        <w:b/>
        <w:bCs/>
        <w:color w:val="CC3300"/>
        <w:szCs w:val="24"/>
      </w:rPr>
      <w:t>Pr</w:t>
    </w:r>
    <w:r w:rsidR="004D21D9" w:rsidRPr="005A0A4E">
      <w:rPr>
        <w:rStyle w:val="branding--black"/>
        <w:rFonts w:eastAsiaTheme="majorEastAsia" w:cs="Arial"/>
        <w:b/>
        <w:bCs/>
        <w:szCs w:val="24"/>
      </w:rPr>
      <w:t>o</w:t>
    </w:r>
    <w:r w:rsidR="004D21D9" w:rsidRPr="005A0A4E">
      <w:rPr>
        <w:rFonts w:cs="Arial"/>
        <w:b/>
        <w:bCs/>
        <w:color w:val="CC3300"/>
        <w:szCs w:val="24"/>
      </w:rPr>
      <w:t>curement J</w:t>
    </w:r>
    <w:r w:rsidR="004D21D9" w:rsidRPr="005A0A4E">
      <w:rPr>
        <w:rStyle w:val="branding--black"/>
        <w:rFonts w:eastAsiaTheme="majorEastAsia" w:cs="Arial"/>
        <w:b/>
        <w:bCs/>
        <w:szCs w:val="24"/>
      </w:rPr>
      <w:t>o</w:t>
    </w:r>
    <w:r w:rsidR="004D21D9" w:rsidRPr="005A0A4E">
      <w:rPr>
        <w:rFonts w:cs="Arial"/>
        <w:b/>
        <w:bCs/>
        <w:color w:val="CC3300"/>
        <w:szCs w:val="24"/>
      </w:rPr>
      <w:t>urney</w:t>
    </w:r>
  </w:p>
  <w:p w14:paraId="457D8FFB" w14:textId="16F5722A" w:rsidR="00785612" w:rsidRDefault="00785612" w:rsidP="00785612">
    <w:pPr>
      <w:pStyle w:val="Footer"/>
      <w:ind w:right="-755"/>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B141C" w14:textId="77777777" w:rsidR="00844D26" w:rsidRDefault="00844D26" w:rsidP="000B47D4">
      <w:r>
        <w:separator/>
      </w:r>
    </w:p>
  </w:footnote>
  <w:footnote w:type="continuationSeparator" w:id="0">
    <w:p w14:paraId="4FE23AF4" w14:textId="77777777" w:rsidR="00844D26" w:rsidRDefault="00844D26" w:rsidP="000B4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D368752"/>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4092614D"/>
    <w:multiLevelType w:val="hybridMultilevel"/>
    <w:tmpl w:val="2BE68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A62D59"/>
    <w:multiLevelType w:val="multilevel"/>
    <w:tmpl w:val="C996072C"/>
    <w:styleLink w:val="LFO7"/>
    <w:lvl w:ilvl="0">
      <w:start w:val="1"/>
      <w:numFmt w:val="decimal"/>
      <w:pStyle w:val="ListNumber3"/>
      <w:lvlText w:val="%1."/>
      <w:lvlJc w:val="left"/>
      <w:pPr>
        <w:ind w:left="135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647B1160"/>
    <w:multiLevelType w:val="hybridMultilevel"/>
    <w:tmpl w:val="BCE42B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2C1161"/>
    <w:multiLevelType w:val="singleLevel"/>
    <w:tmpl w:val="17489F8A"/>
    <w:lvl w:ilvl="0">
      <w:start w:val="1"/>
      <w:numFmt w:val="bullet"/>
      <w:pStyle w:val="Bulletted"/>
      <w:lvlText w:val=""/>
      <w:lvlJc w:val="left"/>
      <w:pPr>
        <w:tabs>
          <w:tab w:val="num" w:pos="360"/>
        </w:tabs>
        <w:ind w:left="360" w:hanging="360"/>
      </w:pPr>
      <w:rPr>
        <w:rFonts w:ascii="Symbol" w:hAnsi="Symbol" w:hint="default"/>
      </w:rPr>
    </w:lvl>
  </w:abstractNum>
  <w:num w:numId="1" w16cid:durableId="396362469">
    <w:abstractNumId w:val="4"/>
  </w:num>
  <w:num w:numId="2" w16cid:durableId="1045835772">
    <w:abstractNumId w:val="0"/>
  </w:num>
  <w:num w:numId="3" w16cid:durableId="203178836">
    <w:abstractNumId w:val="0"/>
  </w:num>
  <w:num w:numId="4" w16cid:durableId="435247590">
    <w:abstractNumId w:val="0"/>
  </w:num>
  <w:num w:numId="5" w16cid:durableId="739333600">
    <w:abstractNumId w:val="4"/>
  </w:num>
  <w:num w:numId="6" w16cid:durableId="1453861693">
    <w:abstractNumId w:val="0"/>
  </w:num>
  <w:num w:numId="7" w16cid:durableId="874997660">
    <w:abstractNumId w:val="2"/>
  </w:num>
  <w:num w:numId="8" w16cid:durableId="1891649522">
    <w:abstractNumId w:val="1"/>
  </w:num>
  <w:num w:numId="9" w16cid:durableId="2136175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09"/>
    <w:rsid w:val="00027C27"/>
    <w:rsid w:val="000B47D4"/>
    <w:rsid w:val="000C0CF4"/>
    <w:rsid w:val="001120D1"/>
    <w:rsid w:val="001D4F97"/>
    <w:rsid w:val="00240AE4"/>
    <w:rsid w:val="00281579"/>
    <w:rsid w:val="00306C61"/>
    <w:rsid w:val="00374144"/>
    <w:rsid w:val="0037582B"/>
    <w:rsid w:val="004D21D9"/>
    <w:rsid w:val="0050466E"/>
    <w:rsid w:val="005222A8"/>
    <w:rsid w:val="00772605"/>
    <w:rsid w:val="00785612"/>
    <w:rsid w:val="007946ED"/>
    <w:rsid w:val="00844D26"/>
    <w:rsid w:val="00857548"/>
    <w:rsid w:val="008A03A9"/>
    <w:rsid w:val="009A0959"/>
    <w:rsid w:val="009B7615"/>
    <w:rsid w:val="00B51BDC"/>
    <w:rsid w:val="00B561C0"/>
    <w:rsid w:val="00B773CE"/>
    <w:rsid w:val="00C00B92"/>
    <w:rsid w:val="00C91823"/>
    <w:rsid w:val="00CC6009"/>
    <w:rsid w:val="00D008AB"/>
    <w:rsid w:val="00D0384D"/>
    <w:rsid w:val="00E96FAB"/>
    <w:rsid w:val="00F23E92"/>
    <w:rsid w:val="00F84755"/>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230FFC"/>
  <w15:chartTrackingRefBased/>
  <w15:docId w15:val="{C2678E77-692D-47B9-9C61-492A077C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CC60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C60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60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60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60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60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CC6009"/>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CC6009"/>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CC6009"/>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CC6009"/>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CC6009"/>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CC6009"/>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CC60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00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C60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00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C60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6009"/>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CC6009"/>
    <w:pPr>
      <w:ind w:left="720"/>
      <w:contextualSpacing/>
    </w:pPr>
  </w:style>
  <w:style w:type="character" w:styleId="IntenseEmphasis">
    <w:name w:val="Intense Emphasis"/>
    <w:basedOn w:val="DefaultParagraphFont"/>
    <w:uiPriority w:val="21"/>
    <w:qFormat/>
    <w:rsid w:val="00CC6009"/>
    <w:rPr>
      <w:i/>
      <w:iCs/>
      <w:color w:val="0F4761" w:themeColor="accent1" w:themeShade="BF"/>
    </w:rPr>
  </w:style>
  <w:style w:type="paragraph" w:styleId="IntenseQuote">
    <w:name w:val="Intense Quote"/>
    <w:basedOn w:val="Normal"/>
    <w:next w:val="Normal"/>
    <w:link w:val="IntenseQuoteChar"/>
    <w:uiPriority w:val="30"/>
    <w:qFormat/>
    <w:rsid w:val="00CC6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009"/>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CC6009"/>
    <w:rPr>
      <w:b/>
      <w:bCs/>
      <w:smallCaps/>
      <w:color w:val="0F4761" w:themeColor="accent1" w:themeShade="BF"/>
      <w:spacing w:val="5"/>
    </w:rPr>
  </w:style>
  <w:style w:type="paragraph" w:styleId="ListNumber3">
    <w:name w:val="List Number 3"/>
    <w:basedOn w:val="Normal"/>
    <w:rsid w:val="00CC6009"/>
    <w:pPr>
      <w:numPr>
        <w:numId w:val="7"/>
      </w:numPr>
      <w:suppressAutoHyphens/>
      <w:autoSpaceDN w:val="0"/>
      <w:spacing w:after="200" w:line="276" w:lineRule="auto"/>
      <w:ind w:left="0" w:firstLine="0"/>
      <w:textAlignment w:val="baseline"/>
    </w:pPr>
    <w:rPr>
      <w:rFonts w:ascii="Cambria" w:eastAsia="MS Mincho" w:hAnsi="Cambria" w:cs="Arial"/>
      <w:sz w:val="22"/>
      <w:szCs w:val="22"/>
      <w:lang w:val="en-US"/>
    </w:rPr>
  </w:style>
  <w:style w:type="numbering" w:customStyle="1" w:styleId="LFO7">
    <w:name w:val="LFO7"/>
    <w:basedOn w:val="NoList"/>
    <w:rsid w:val="00CC6009"/>
    <w:pPr>
      <w:numPr>
        <w:numId w:val="7"/>
      </w:numPr>
    </w:pPr>
  </w:style>
  <w:style w:type="character" w:customStyle="1" w:styleId="branding--black">
    <w:name w:val="branding--black"/>
    <w:rsid w:val="004D2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21</TotalTime>
  <Pages>4</Pages>
  <Words>836</Words>
  <Characters>4930</Characters>
  <Application>Microsoft Office Word</Application>
  <DocSecurity>0</DocSecurity>
  <Lines>200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McCann-Tyrrell</dc:creator>
  <cp:keywords/>
  <dc:description/>
  <cp:lastModifiedBy>Lynn McCann-Tyrrell</cp:lastModifiedBy>
  <cp:revision>9</cp:revision>
  <dcterms:created xsi:type="dcterms:W3CDTF">2026-01-15T11:21:00Z</dcterms:created>
  <dcterms:modified xsi:type="dcterms:W3CDTF">2026-01-23T14:05:00Z</dcterms:modified>
</cp:coreProperties>
</file>