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FF02C3" w:rsidRDefault="00FF02C3" w:rsidP="00FF02C3"/>
    <w:p w:rsidR="00FF02C3" w:rsidRDefault="00FF02C3" w:rsidP="00FF02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SPD</w:t>
      </w:r>
      <w:r w:rsidR="00937AC5">
        <w:rPr>
          <w:b/>
          <w:sz w:val="40"/>
          <w:szCs w:val="40"/>
        </w:rPr>
        <w:t xml:space="preserve"> (Scotland)</w:t>
      </w:r>
      <w:bookmarkStart w:id="0" w:name="_GoBack"/>
      <w:bookmarkEnd w:id="0"/>
      <w:r>
        <w:rPr>
          <w:b/>
          <w:sz w:val="40"/>
          <w:szCs w:val="40"/>
        </w:rPr>
        <w:t xml:space="preserve"> Additional Financial Ratios </w:t>
      </w:r>
    </w:p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tbl>
      <w:tblPr>
        <w:tblpPr w:leftFromText="180" w:rightFromText="180" w:vertAnchor="page" w:horzAnchor="page" w:tblpX="693" w:tblpY="167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673"/>
        <w:gridCol w:w="4961"/>
      </w:tblGrid>
      <w:tr w:rsidR="00FF02C3" w:rsidRPr="00F228B4" w:rsidTr="00FF02C3">
        <w:trPr>
          <w:trHeight w:val="75"/>
        </w:trPr>
        <w:tc>
          <w:tcPr>
            <w:tcW w:w="0" w:type="auto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</w:rPr>
            </w:pPr>
            <w:r w:rsidRPr="00FF02C3">
              <w:rPr>
                <w:b/>
              </w:rPr>
              <w:lastRenderedPageBreak/>
              <w:t xml:space="preserve">Ratio Name </w:t>
            </w:r>
          </w:p>
        </w:tc>
        <w:tc>
          <w:tcPr>
            <w:tcW w:w="2673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b/>
                <w:bCs/>
              </w:rPr>
              <w:t>Definition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  <w:bCs/>
              </w:rPr>
            </w:pPr>
            <w:r w:rsidRPr="00FF02C3">
              <w:rPr>
                <w:b/>
                <w:bCs/>
              </w:rPr>
              <w:t>Comparison to BACH ESPD options</w:t>
            </w:r>
          </w:p>
        </w:tc>
      </w:tr>
      <w:tr w:rsidR="00FF02C3" w:rsidRPr="00F228B4" w:rsidTr="00A0368A">
        <w:trPr>
          <w:trHeight w:val="1026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Acid Test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Liquid Assets (Cash and Cash Equivalents + Marketable Securities + Accounts Receivable)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Typically most inventories are relatively liquid so other broader BACH ratios are most relevant.  If working capital issues are known within a certain industry then working capital ratio such as RS1 Inventories / Net turnover could be requested.</w:t>
            </w:r>
          </w:p>
        </w:tc>
      </w:tr>
      <w:tr w:rsidR="00FF02C3" w:rsidRPr="00F228B4" w:rsidTr="00A0368A">
        <w:trPr>
          <w:trHeight w:val="1125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Cash Interest Cover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>,</w:t>
            </w:r>
            <w:r w:rsidRPr="00FF02C3">
              <w:rPr>
                <w:rFonts w:ascii="Cambria Math" w:hAnsi="Cambria Math" w:cs="Cambria Math"/>
                <w:color w:val="24292E"/>
              </w:rPr>
              <w:t>𝑇𝑎𝑥𝑎𝑡𝑖𝑜𝑛</w:t>
            </w:r>
            <w:r w:rsidRPr="00FF02C3">
              <w:rPr>
                <w:color w:val="24292E"/>
              </w:rPr>
              <w:t xml:space="preserve">, </w:t>
            </w:r>
            <w:r w:rsidRPr="00FF02C3">
              <w:rPr>
                <w:rFonts w:ascii="Cambria Math" w:hAnsi="Cambria Math" w:cs="Cambria Math"/>
                <w:color w:val="24292E"/>
              </w:rPr>
              <w:t>𝐷𝑒𝑝𝑟𝑒𝑐𝑖𝑎𝑡𝑖𝑜𝑛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𝐴𝑚𝑜𝑟𝑡𝑖𝑠𝑎𝑡𝑖𝑜𝑛</w:t>
            </w:r>
            <w:r w:rsidRPr="00FF02C3">
              <w:rPr>
                <w:color w:val="24292E"/>
              </w:rPr>
              <w:t xml:space="preserve">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𝑃𝑎𝑦𝑎𝑏𝑙𝑒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R22, EBITDA over interest on financial debt, is the same.</w:t>
            </w:r>
          </w:p>
        </w:tc>
      </w:tr>
      <w:tr w:rsidR="00FF02C3" w:rsidRPr="00F228B4" w:rsidTr="00A0368A">
        <w:trPr>
          <w:trHeight w:val="99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Return on Capital Employed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𝑇𝑎𝑥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𝑇𝑜𝑡𝑎𝑙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𝐴𝑠𝑠𝑒𝑡𝑠</w:t>
            </w:r>
            <w:r w:rsidRPr="00FF02C3">
              <w:rPr>
                <w:color w:val="24292E"/>
              </w:rPr>
              <w:t xml:space="preserve"> − </w:t>
            </w: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R38, Return on Equity, is very similar</w:t>
            </w:r>
          </w:p>
        </w:tc>
      </w:tr>
      <w:tr w:rsidR="00FF02C3" w:rsidRPr="00F228B4" w:rsidTr="00A0368A">
        <w:trPr>
          <w:trHeight w:val="36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Operating Profit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𝑂𝑝𝑒𝑟𝑎𝑡𝑖𝑛𝑔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𝑃𝑟𝑜𝑓𝑖𝑡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𝑇𝑢𝑟𝑛𝑜𝑣𝑒𝑟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R34, Net operating profit / net turnover is the same.</w:t>
            </w:r>
          </w:p>
        </w:tc>
      </w:tr>
      <w:tr w:rsidR="00FF02C3" w:rsidRPr="00F228B4" w:rsidTr="00A0368A">
        <w:trPr>
          <w:trHeight w:val="108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Gearing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Total Long Term Liabilities (excluding Pension Liability and Provisions)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Shareholder Funds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R12, Liabilities to Equity ratio, is very similar.</w:t>
            </w:r>
          </w:p>
        </w:tc>
      </w:tr>
      <w:tr w:rsidR="00FF02C3" w:rsidRPr="00F228B4" w:rsidTr="00A0368A">
        <w:trPr>
          <w:trHeight w:val="60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Margin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Net Profit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Revenue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R34, Net operating profit / Net turnover, very similar and focussing on operating percentage instead of total discounts less relevant non-operating which are typically out of business control.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Profit before interest and taxes (PBIT)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+ Interest + Taxes.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Typically PBIT/EBIT unhelpful by itself as not related to business size.  So if divided by net turnover, like BACH R35 then it can be easier compared between organisations.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Interest coverage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Earnings before interest and taxes (EBIT) / interest payments due in the period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R24, Interest and similar charges / gross operating profit, is very similar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Net current assets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Current assets / current liabilities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R13 and R16 in separation consider the relative ratios of current to non-current and BACH R11 and R12 consider the assets and liabilities in comparison to total equity.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Gearing: debt-to-equity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Total debt / total equity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BACH R12, Liabilities to Equity ratio, is very similar.</w:t>
            </w:r>
          </w:p>
        </w:tc>
      </w:tr>
    </w:tbl>
    <w:p w:rsidR="00027C27" w:rsidRPr="009B7615" w:rsidRDefault="00027C27" w:rsidP="00B561C0"/>
    <w:sectPr w:rsidR="00027C27" w:rsidRPr="009B7615" w:rsidSect="00B561C0">
      <w:foot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C3" w:rsidRDefault="00FF02C3" w:rsidP="00FF02C3">
      <w:r>
        <w:separator/>
      </w:r>
    </w:p>
  </w:endnote>
  <w:endnote w:type="continuationSeparator" w:id="0">
    <w:p w:rsidR="00FF02C3" w:rsidRDefault="00FF02C3" w:rsidP="00F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C3" w:rsidRPr="00FF02C3" w:rsidRDefault="00FF02C3" w:rsidP="00FF02C3">
    <w:pPr>
      <w:jc w:val="right"/>
      <w:rPr>
        <w:rFonts w:cs="Arial"/>
        <w:b/>
        <w:szCs w:val="24"/>
      </w:rPr>
    </w:pPr>
    <w:r w:rsidRPr="00FF02C3">
      <w:rPr>
        <w:rFonts w:cs="Arial"/>
        <w:b/>
        <w:bCs/>
        <w:color w:val="CC3300"/>
        <w:szCs w:val="24"/>
      </w:rPr>
      <w:t>Pr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curement J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urney</w:t>
    </w:r>
    <w:r w:rsidRPr="00FF02C3">
      <w:rPr>
        <w:rFonts w:cs="Arial"/>
        <w:b/>
        <w:szCs w:val="24"/>
      </w:rPr>
      <w:t xml:space="preserve"> </w:t>
    </w:r>
  </w:p>
  <w:p w:rsidR="00FF02C3" w:rsidRDefault="00FF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C3" w:rsidRDefault="00FF02C3" w:rsidP="00FF02C3">
      <w:r>
        <w:separator/>
      </w:r>
    </w:p>
  </w:footnote>
  <w:footnote w:type="continuationSeparator" w:id="0">
    <w:p w:rsidR="00FF02C3" w:rsidRDefault="00FF02C3" w:rsidP="00FF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4"/>
    <w:rsid w:val="00027C27"/>
    <w:rsid w:val="000C0CF4"/>
    <w:rsid w:val="00281579"/>
    <w:rsid w:val="00306C61"/>
    <w:rsid w:val="0037582B"/>
    <w:rsid w:val="007C2CD4"/>
    <w:rsid w:val="00857548"/>
    <w:rsid w:val="00937AC5"/>
    <w:rsid w:val="009B7615"/>
    <w:rsid w:val="00A41845"/>
    <w:rsid w:val="00B01602"/>
    <w:rsid w:val="00B51BDC"/>
    <w:rsid w:val="00B561C0"/>
    <w:rsid w:val="00B773CE"/>
    <w:rsid w:val="00BA22E0"/>
    <w:rsid w:val="00C1617B"/>
    <w:rsid w:val="00C91823"/>
    <w:rsid w:val="00CC03F9"/>
    <w:rsid w:val="00D008AB"/>
    <w:rsid w:val="00F228B4"/>
    <w:rsid w:val="00F648F4"/>
    <w:rsid w:val="00FA4BC1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370F"/>
  <w15:chartTrackingRefBased/>
  <w15:docId w15:val="{5E610494-6706-47EE-ADCD-46CF5E9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F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Default">
    <w:name w:val="Default"/>
    <w:rsid w:val="00F648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randing--black">
    <w:name w:val="branding--black"/>
    <w:basedOn w:val="DefaultParagraphFont"/>
    <w:rsid w:val="00FF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S (Steven)</dc:creator>
  <cp:keywords/>
  <dc:description/>
  <cp:lastModifiedBy>Martin S (Shaw)</cp:lastModifiedBy>
  <cp:revision>3</cp:revision>
  <dcterms:created xsi:type="dcterms:W3CDTF">2020-04-20T13:12:00Z</dcterms:created>
  <dcterms:modified xsi:type="dcterms:W3CDTF">2020-12-30T13:21:00Z</dcterms:modified>
</cp:coreProperties>
</file>