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27" w:rsidRDefault="00A56C04" w:rsidP="00B561C0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3A52DFB" wp14:editId="2B9383AE">
            <wp:extent cx="5866410" cy="46483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9629" t="24321" r="27474" b="15227"/>
                    <a:stretch/>
                  </pic:blipFill>
                  <pic:spPr bwMode="auto">
                    <a:xfrm>
                      <a:off x="0" y="0"/>
                      <a:ext cx="5886568" cy="4664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6C04" w:rsidRDefault="00A56C04" w:rsidP="00B561C0"/>
    <w:p w:rsidR="00A56C04" w:rsidRDefault="00A56C04" w:rsidP="00B561C0"/>
    <w:p w:rsidR="00A56C04" w:rsidRDefault="00A56C04" w:rsidP="00B561C0"/>
    <w:p w:rsidR="00A56C04" w:rsidRDefault="00A56C04" w:rsidP="00B561C0"/>
    <w:p w:rsidR="00A56C04" w:rsidRDefault="00A56C04" w:rsidP="00B561C0"/>
    <w:p w:rsidR="00A56C04" w:rsidRDefault="00A56C04" w:rsidP="00B561C0"/>
    <w:tbl>
      <w:tblPr>
        <w:tblW w:w="984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51"/>
        <w:gridCol w:w="2124"/>
        <w:gridCol w:w="5566"/>
      </w:tblGrid>
      <w:tr w:rsidR="00A56C04" w:rsidRPr="00A56C04" w:rsidTr="00A56C04">
        <w:trPr>
          <w:trHeight w:val="495"/>
        </w:trPr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C04" w:rsidRPr="00A56C04" w:rsidRDefault="00A56C04" w:rsidP="00A56C04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A56C04">
              <w:rPr>
                <w:b/>
                <w:bCs/>
              </w:rPr>
              <w:t>Level of Contract / Supplier Management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C04" w:rsidRPr="00A56C04" w:rsidRDefault="00A56C04" w:rsidP="00A56C04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A56C04">
              <w:rPr>
                <w:b/>
                <w:bCs/>
              </w:rPr>
              <w:t>Aim</w:t>
            </w:r>
          </w:p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C04" w:rsidRPr="00A56C04" w:rsidRDefault="00A56C04" w:rsidP="00A56C04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A56C04">
              <w:rPr>
                <w:b/>
                <w:bCs/>
              </w:rPr>
              <w:t>Characteristics</w:t>
            </w:r>
          </w:p>
        </w:tc>
      </w:tr>
      <w:tr w:rsidR="00A56C04" w:rsidRPr="00A56C04" w:rsidTr="00A56C04">
        <w:trPr>
          <w:trHeight w:val="837"/>
        </w:trPr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C04" w:rsidRPr="00A56C04" w:rsidRDefault="00A56C04" w:rsidP="00A56C04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A56C04">
              <w:rPr>
                <w:b/>
                <w:bCs/>
              </w:rPr>
              <w:t xml:space="preserve">Low level 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C04" w:rsidRPr="00A56C04" w:rsidRDefault="00A56C04" w:rsidP="00A56C04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A56C04">
              <w:t>Ensure continuity of supply and risk awareness</w:t>
            </w:r>
          </w:p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3C7B" w:rsidRPr="00A56C04" w:rsidRDefault="00CE3639" w:rsidP="00A56C04">
            <w:pPr>
              <w:numPr>
                <w:ilvl w:val="0"/>
                <w:numId w:val="7"/>
              </w:numPr>
            </w:pPr>
            <w:r w:rsidRPr="00A56C04">
              <w:t>Low value and low risk</w:t>
            </w:r>
          </w:p>
          <w:p w:rsidR="00CC3C7B" w:rsidRPr="00A56C04" w:rsidRDefault="00CE3639" w:rsidP="00A56C04">
            <w:pPr>
              <w:numPr>
                <w:ilvl w:val="0"/>
                <w:numId w:val="7"/>
              </w:numPr>
            </w:pPr>
            <w:r w:rsidRPr="00A56C04">
              <w:t>This can cover procurements that are non-business critical and/or have an abundant supply base, and also Procurement Journey Route 1 contracts.</w:t>
            </w:r>
          </w:p>
          <w:p w:rsidR="00CC3C7B" w:rsidRPr="00A56C04" w:rsidRDefault="00CE3639" w:rsidP="00A56C04">
            <w:pPr>
              <w:numPr>
                <w:ilvl w:val="0"/>
                <w:numId w:val="7"/>
              </w:numPr>
            </w:pPr>
            <w:r w:rsidRPr="00A56C04">
              <w:t xml:space="preserve"> In general, contract management of these agreements will include gathering management information, monitoring trends, and maintaining awareness of key category risks. </w:t>
            </w:r>
          </w:p>
          <w:p w:rsidR="00CC3C7B" w:rsidRPr="00A56C04" w:rsidRDefault="00CE3639" w:rsidP="00A56C04">
            <w:pPr>
              <w:numPr>
                <w:ilvl w:val="0"/>
                <w:numId w:val="7"/>
              </w:numPr>
            </w:pPr>
            <w:r w:rsidRPr="00A56C04">
              <w:t xml:space="preserve">Ensuring compliance to the contract by managing the delivery of the contract </w:t>
            </w:r>
            <w:r w:rsidRPr="00A56C04">
              <w:lastRenderedPageBreak/>
              <w:t>using four high level indicators i.e. cost, quality, delivery, service.  This may be through a customer survey where the questions can be categorised using the 4 level indicators mentioned above.</w:t>
            </w:r>
          </w:p>
        </w:tc>
      </w:tr>
      <w:tr w:rsidR="00A56C04" w:rsidRPr="00A56C04" w:rsidTr="00A56C04">
        <w:trPr>
          <w:trHeight w:val="1534"/>
        </w:trPr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C04" w:rsidRPr="00A56C04" w:rsidRDefault="00A56C04" w:rsidP="00A56C04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A56C04">
              <w:rPr>
                <w:b/>
                <w:bCs/>
              </w:rPr>
              <w:lastRenderedPageBreak/>
              <w:t xml:space="preserve">Medium level 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C04" w:rsidRPr="00A56C04" w:rsidRDefault="00A56C04" w:rsidP="00A56C04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A56C04">
              <w:t xml:space="preserve">Ensure continuity of supply, value for money, risk management and supplier performance. Seek supplier development where possible. Retain/gain market knowledge. </w:t>
            </w:r>
          </w:p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3C7B" w:rsidRPr="00A56C04" w:rsidRDefault="00CE3639" w:rsidP="00A56C04">
            <w:pPr>
              <w:numPr>
                <w:ilvl w:val="0"/>
                <w:numId w:val="8"/>
              </w:numPr>
            </w:pPr>
            <w:r w:rsidRPr="00A56C04">
              <w:t xml:space="preserve">Procurement Managers shall ensure continuity of supply and value for money through ongoing effective contract management. </w:t>
            </w:r>
          </w:p>
          <w:p w:rsidR="00CC3C7B" w:rsidRPr="00A56C04" w:rsidRDefault="00CE3639" w:rsidP="00A56C04">
            <w:pPr>
              <w:numPr>
                <w:ilvl w:val="0"/>
                <w:numId w:val="8"/>
              </w:numPr>
            </w:pPr>
            <w:r w:rsidRPr="00A56C04">
              <w:t xml:space="preserve">Typical contract management activities and tools include supplier review meetings, use of </w:t>
            </w:r>
            <w:proofErr w:type="spellStart"/>
            <w:r w:rsidRPr="00A56C04">
              <w:t>KPI's</w:t>
            </w:r>
            <w:proofErr w:type="spellEnd"/>
            <w:r w:rsidRPr="00A56C04">
              <w:t xml:space="preserve">, user feedback gathering, reviewing spend data, benchmarking costs, market intelligence, elements of Supplier Health Check and use of a Risk register. </w:t>
            </w:r>
          </w:p>
          <w:p w:rsidR="00CC3C7B" w:rsidRPr="00A56C04" w:rsidRDefault="00CE3639" w:rsidP="00A56C04">
            <w:pPr>
              <w:numPr>
                <w:ilvl w:val="0"/>
                <w:numId w:val="8"/>
              </w:numPr>
            </w:pPr>
            <w:r w:rsidRPr="00A56C04">
              <w:t>.These contracts could be where there is abundant supply and therefore a chance to improve price ('Leverage'), or limited supply of a not critical/high cost item which needs management to maintain consistent supply ('Bottleneck'). This should expand on the four high level indicators and holding a minimum of one performance review meeting per annum.</w:t>
            </w:r>
          </w:p>
        </w:tc>
      </w:tr>
      <w:tr w:rsidR="00A56C04" w:rsidRPr="00A56C04" w:rsidTr="00A56C04">
        <w:trPr>
          <w:trHeight w:val="1231"/>
        </w:trPr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C04" w:rsidRPr="00A56C04" w:rsidRDefault="00A56C04" w:rsidP="00A56C04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A56C04">
              <w:rPr>
                <w:b/>
                <w:bCs/>
              </w:rPr>
              <w:t xml:space="preserve">High level 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C04" w:rsidRPr="00A56C04" w:rsidRDefault="00A56C04" w:rsidP="00A56C04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A56C04">
              <w:t>Ensure effective contract delivery and supplier performance, risk management and maximisation of supplier and market development opportunities.</w:t>
            </w:r>
          </w:p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3C7B" w:rsidRPr="00A56C04" w:rsidRDefault="00CE3639" w:rsidP="00A56C04">
            <w:pPr>
              <w:numPr>
                <w:ilvl w:val="0"/>
                <w:numId w:val="9"/>
              </w:numPr>
            </w:pPr>
            <w:r w:rsidRPr="00A56C04">
              <w:t>Contracts that have high value and/or high risk will be managed strategically to ensure effective service delivery</w:t>
            </w:r>
          </w:p>
          <w:p w:rsidR="00CC3C7B" w:rsidRPr="00A56C04" w:rsidRDefault="00CE3639" w:rsidP="00A56C04">
            <w:pPr>
              <w:numPr>
                <w:ilvl w:val="0"/>
                <w:numId w:val="9"/>
              </w:numPr>
            </w:pPr>
            <w:r w:rsidRPr="00A56C04">
              <w:t>Through strategic contract management opportunities for supplier development and greater market knowledge can be identified. This will include managing the performance of the contract and the supplier using the</w:t>
            </w:r>
            <w:hyperlink r:id="rId9" w:history="1">
              <w:r w:rsidRPr="00A56C04">
                <w:rPr>
                  <w:rStyle w:val="Hyperlink"/>
                </w:rPr>
                <w:t xml:space="preserve"> </w:t>
              </w:r>
            </w:hyperlink>
            <w:hyperlink r:id="rId10" w:history="1">
              <w:r w:rsidRPr="00A56C04">
                <w:rPr>
                  <w:rStyle w:val="Hyperlink"/>
                </w:rPr>
                <w:t>full balanced scorecard</w:t>
              </w:r>
            </w:hyperlink>
            <w:hyperlink r:id="rId11" w:history="1">
              <w:r w:rsidRPr="00A56C04">
                <w:rPr>
                  <w:rStyle w:val="Hyperlink"/>
                </w:rPr>
                <w:t xml:space="preserve"> </w:t>
              </w:r>
            </w:hyperlink>
            <w:r w:rsidRPr="00A56C04">
              <w:t>and using the foundation of Medium Level contract management.</w:t>
            </w:r>
          </w:p>
        </w:tc>
      </w:tr>
    </w:tbl>
    <w:p w:rsidR="00A56C04" w:rsidRPr="009B7615" w:rsidRDefault="00A56C04" w:rsidP="00B561C0"/>
    <w:sectPr w:rsidR="00A56C04" w:rsidRPr="009B7615" w:rsidSect="00B561C0">
      <w:footerReference w:type="default" r:id="rId12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F31" w:rsidRDefault="00E43F31" w:rsidP="00E43F31">
      <w:r>
        <w:separator/>
      </w:r>
    </w:p>
  </w:endnote>
  <w:endnote w:type="continuationSeparator" w:id="0">
    <w:p w:rsidR="00E43F31" w:rsidRDefault="00E43F31" w:rsidP="00E4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31" w:rsidRPr="00E43F31" w:rsidRDefault="00E43F31" w:rsidP="00E43F31">
    <w:pPr>
      <w:jc w:val="right"/>
      <w:rPr>
        <w:b/>
        <w:szCs w:val="24"/>
      </w:rPr>
    </w:pPr>
    <w:r w:rsidRPr="00E43F31">
      <w:rPr>
        <w:b/>
        <w:bCs/>
        <w:color w:val="CC3300"/>
        <w:szCs w:val="24"/>
      </w:rPr>
      <w:t>Pr</w:t>
    </w:r>
    <w:r w:rsidRPr="00E43F31">
      <w:rPr>
        <w:rStyle w:val="branding--black"/>
        <w:b/>
        <w:bCs/>
        <w:szCs w:val="24"/>
      </w:rPr>
      <w:t>o</w:t>
    </w:r>
    <w:r w:rsidRPr="00E43F31">
      <w:rPr>
        <w:b/>
        <w:bCs/>
        <w:color w:val="CC3300"/>
        <w:szCs w:val="24"/>
      </w:rPr>
      <w:t>curement J</w:t>
    </w:r>
    <w:r w:rsidRPr="00E43F31">
      <w:rPr>
        <w:rStyle w:val="branding--black"/>
        <w:b/>
        <w:bCs/>
        <w:szCs w:val="24"/>
      </w:rPr>
      <w:t>o</w:t>
    </w:r>
    <w:r w:rsidRPr="00E43F31">
      <w:rPr>
        <w:b/>
        <w:bCs/>
        <w:color w:val="CC3300"/>
        <w:szCs w:val="24"/>
      </w:rPr>
      <w:t>urney</w:t>
    </w:r>
    <w:r w:rsidRPr="00E43F31">
      <w:rPr>
        <w:b/>
        <w:szCs w:val="24"/>
      </w:rPr>
      <w:t xml:space="preserve"> </w:t>
    </w:r>
  </w:p>
  <w:p w:rsidR="00E43F31" w:rsidRPr="00E43F31" w:rsidRDefault="00E43F31" w:rsidP="00E43F31">
    <w:pPr>
      <w:pStyle w:val="Footer"/>
      <w:jc w:val="right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F31" w:rsidRDefault="00E43F31" w:rsidP="00E43F31">
      <w:r>
        <w:separator/>
      </w:r>
    </w:p>
  </w:footnote>
  <w:footnote w:type="continuationSeparator" w:id="0">
    <w:p w:rsidR="00E43F31" w:rsidRDefault="00E43F31" w:rsidP="00E4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291361C"/>
    <w:multiLevelType w:val="hybridMultilevel"/>
    <w:tmpl w:val="2D406232"/>
    <w:lvl w:ilvl="0" w:tplc="AA203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E5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E6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FE9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90D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76D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44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3A1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185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A66F7A"/>
    <w:multiLevelType w:val="hybridMultilevel"/>
    <w:tmpl w:val="F85C73A8"/>
    <w:lvl w:ilvl="0" w:tplc="5C386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445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AC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C4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A68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BE4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680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781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F88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B02824"/>
    <w:multiLevelType w:val="hybridMultilevel"/>
    <w:tmpl w:val="55087E8C"/>
    <w:lvl w:ilvl="0" w:tplc="300CB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766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A0E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0CB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D0F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EAB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A29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C4A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F4C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04"/>
    <w:rsid w:val="00027C27"/>
    <w:rsid w:val="000C0CF4"/>
    <w:rsid w:val="00281579"/>
    <w:rsid w:val="00306C61"/>
    <w:rsid w:val="0037582B"/>
    <w:rsid w:val="00857548"/>
    <w:rsid w:val="009B7615"/>
    <w:rsid w:val="00A56C04"/>
    <w:rsid w:val="00B51BDC"/>
    <w:rsid w:val="00B561C0"/>
    <w:rsid w:val="00B773CE"/>
    <w:rsid w:val="00C91823"/>
    <w:rsid w:val="00CC3C7B"/>
    <w:rsid w:val="00CE3639"/>
    <w:rsid w:val="00D008AB"/>
    <w:rsid w:val="00E43F31"/>
    <w:rsid w:val="00FA4BC1"/>
    <w:rsid w:val="00F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1B331-09D9-4CF5-B702-B27068AE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basedOn w:val="DefaultParagraphFont"/>
    <w:uiPriority w:val="99"/>
    <w:unhideWhenUsed/>
    <w:rsid w:val="00A56C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C04"/>
    <w:rPr>
      <w:color w:val="954F72" w:themeColor="followedHyperlink"/>
      <w:u w:val="single"/>
    </w:rPr>
  </w:style>
  <w:style w:type="character" w:customStyle="1" w:styleId="branding--black">
    <w:name w:val="branding--black"/>
    <w:basedOn w:val="DefaultParagraphFont"/>
    <w:rsid w:val="00E43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3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8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8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curementjourney.scot/route-3/route-3-contract-supplier-management-managing-improving-performan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rocurementjourney.scot/route-3/route-3-contract-supplier-management-managing-improving-perform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curementjourney.scot/route-3/route-3-contract-supplier-management-managing-improving-performa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A28366224</value>
    </field>
    <field name="Objective-Title">
      <value order="0">Segmentation Categories</value>
    </field>
    <field name="Objective-Description">
      <value order="0">Updated New Doc</value>
    </field>
    <field name="Objective-CreationStamp">
      <value order="0">2020-05-14T13:51:25Z</value>
    </field>
    <field name="Objective-IsApproved">
      <value order="0">false</value>
    </field>
    <field name="Objective-IsPublished">
      <value order="0">true</value>
    </field>
    <field name="Objective-DatePublished">
      <value order="0">2020-05-14T13:51:25Z</value>
    </field>
    <field name="Objective-ModificationStamp">
      <value order="0">2020-05-14T13:51:25Z</value>
    </field>
    <field name="Objective-Owner">
      <value order="0">Martin, Shaw S (U445518)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 Route 4 - 2020: 2020-2025</value>
    </field>
    <field name="Objective-Parent">
      <value order="0">Procurement Development: Best Practice: Procurement Journey Route 4 - 2020: 2020-2025</value>
    </field>
    <field name="Objective-State">
      <value order="0">Published</value>
    </field>
    <field name="Objective-VersionId">
      <value order="0">vA41151159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CASE/491146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 (Shaw)</dc:creator>
  <cp:keywords/>
  <dc:description/>
  <cp:lastModifiedBy>Conlan M (Marcus)</cp:lastModifiedBy>
  <cp:revision>2</cp:revision>
  <dcterms:created xsi:type="dcterms:W3CDTF">2020-11-03T16:04:00Z</dcterms:created>
  <dcterms:modified xsi:type="dcterms:W3CDTF">2020-11-03T16:04:00Z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A28366224</vt:lpwstr>
  </property>
  <property fmtid="{D5CDD505-2E9C-101B-9397-08002B2CF9AE}" pid="4" name="Objective-Title">
    <vt:lpwstr>Segmentation Categories</vt:lpwstr>
  </property>
  <property fmtid="{D5CDD505-2E9C-101B-9397-08002B2CF9AE}" pid="5" name="Objective-Description">
    <vt:lpwstr>Updated New Doc</vt:lpwstr>
  </property>
  <property fmtid="{D5CDD505-2E9C-101B-9397-08002B2CF9AE}" pid="6" name="Objective-CreationStamp">
    <vt:filetime>2020-05-14T13:51:25Z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2020-05-14T13:51:25Z</vt:filetime>
  </property>
  <property fmtid="{D5CDD505-2E9C-101B-9397-08002B2CF9AE}" pid="10" name="Objective-ModificationStamp">
    <vt:filetime>2020-05-14T13:51:25Z</vt:filetime>
  </property>
  <property fmtid="{D5CDD505-2E9C-101B-9397-08002B2CF9AE}" pid="11" name="Objective-Owner">
    <vt:lpwstr>Martin, Shaw S (U445518)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 Route 4 - 2020: 2020-2025</vt:lpwstr>
  </property>
  <property fmtid="{D5CDD505-2E9C-101B-9397-08002B2CF9AE}" pid="13" name="Objective-Parent">
    <vt:lpwstr>Procurement Development: Best Practice: Procurement Journey Route 4 - 2020: 2020-2025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vA41151159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CASE/491146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</Properties>
</file>