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6F" w:rsidRDefault="00F4186F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DE764E" w:rsidRDefault="00DE764E" w:rsidP="004B66ED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214B23" w:rsidRDefault="00214B23" w:rsidP="00214B23">
      <w:pPr>
        <w:jc w:val="center"/>
        <w:rPr>
          <w:rFonts w:ascii="Arial" w:eastAsia="Times New Roman" w:hAnsi="Arial"/>
          <w:b/>
          <w:sz w:val="28"/>
          <w:szCs w:val="28"/>
        </w:rPr>
      </w:pPr>
      <w:r>
        <w:rPr>
          <w:rFonts w:ascii="Arial" w:hAnsi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ascii="Arial" w:hAnsi="Arial"/>
          <w:b/>
          <w:bCs/>
          <w:sz w:val="60"/>
          <w:szCs w:val="60"/>
        </w:rPr>
        <w:t>o</w:t>
      </w:r>
      <w:r>
        <w:rPr>
          <w:rFonts w:ascii="Arial" w:hAnsi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ascii="Arial" w:hAnsi="Arial"/>
          <w:b/>
          <w:bCs/>
          <w:sz w:val="60"/>
          <w:szCs w:val="60"/>
        </w:rPr>
        <w:t>o</w:t>
      </w:r>
      <w:r>
        <w:rPr>
          <w:rFonts w:ascii="Arial" w:hAnsi="Arial"/>
          <w:b/>
          <w:bCs/>
          <w:color w:val="CC3300"/>
          <w:sz w:val="60"/>
          <w:szCs w:val="60"/>
        </w:rPr>
        <w:t>urney</w:t>
      </w:r>
      <w:r>
        <w:rPr>
          <w:rFonts w:ascii="Arial" w:hAnsi="Arial"/>
          <w:b/>
          <w:sz w:val="28"/>
          <w:szCs w:val="28"/>
        </w:rPr>
        <w:t xml:space="preserve"> </w:t>
      </w:r>
    </w:p>
    <w:p w:rsidR="00DE764E" w:rsidRPr="00D30D72" w:rsidRDefault="00DE764E" w:rsidP="00DE764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Specific rules for care and support over </w:t>
      </w:r>
      <w:r w:rsidR="00944FC2">
        <w:rPr>
          <w:rFonts w:ascii="Arial" w:hAnsi="Arial"/>
          <w:b/>
          <w:sz w:val="24"/>
          <w:szCs w:val="24"/>
        </w:rPr>
        <w:t>£</w:t>
      </w:r>
      <w:r>
        <w:rPr>
          <w:rFonts w:ascii="Arial" w:hAnsi="Arial"/>
          <w:b/>
          <w:sz w:val="24"/>
          <w:szCs w:val="24"/>
        </w:rPr>
        <w:t>750,00</w:t>
      </w:r>
      <w:r w:rsidR="00944FC2">
        <w:rPr>
          <w:rFonts w:ascii="Arial" w:hAnsi="Arial"/>
          <w:b/>
          <w:sz w:val="24"/>
          <w:szCs w:val="24"/>
        </w:rPr>
        <w:t>0</w:t>
      </w:r>
      <w:bookmarkStart w:id="0" w:name="_GoBack"/>
      <w:bookmarkEnd w:id="0"/>
    </w:p>
    <w:p w:rsidR="00F4186F" w:rsidRDefault="00F4186F">
      <w:pPr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br w:type="page"/>
      </w:r>
    </w:p>
    <w:p w:rsidR="00DE764E" w:rsidRDefault="00DE764E" w:rsidP="00DE764E">
      <w:pPr>
        <w:spacing w:line="0" w:lineRule="atLeast"/>
        <w:ind w:left="6"/>
        <w:jc w:val="both"/>
        <w:rPr>
          <w:rFonts w:ascii="Arial" w:eastAsia="Arial" w:hAnsi="Arial"/>
          <w:b/>
          <w:sz w:val="24"/>
          <w:szCs w:val="24"/>
        </w:rPr>
      </w:pPr>
    </w:p>
    <w:p w:rsidR="00DE764E" w:rsidRDefault="00DE764E" w:rsidP="00DE764E">
      <w:pPr>
        <w:spacing w:line="0" w:lineRule="atLeast"/>
        <w:ind w:left="6"/>
        <w:jc w:val="both"/>
        <w:rPr>
          <w:rFonts w:ascii="Arial" w:eastAsia="Arial" w:hAnsi="Arial"/>
          <w:b/>
          <w:sz w:val="24"/>
          <w:szCs w:val="24"/>
        </w:rPr>
      </w:pPr>
    </w:p>
    <w:p w:rsidR="004B66ED" w:rsidRPr="00DE764E" w:rsidRDefault="004B66ED" w:rsidP="00DE764E">
      <w:pPr>
        <w:spacing w:line="0" w:lineRule="atLeast"/>
        <w:ind w:left="6"/>
        <w:jc w:val="both"/>
        <w:rPr>
          <w:rFonts w:ascii="Arial" w:eastAsia="Arial" w:hAnsi="Arial"/>
          <w:b/>
          <w:sz w:val="24"/>
          <w:szCs w:val="24"/>
        </w:rPr>
      </w:pPr>
      <w:r w:rsidRPr="00DE764E">
        <w:rPr>
          <w:rFonts w:ascii="Arial" w:eastAsia="Arial" w:hAnsi="Arial"/>
          <w:b/>
          <w:sz w:val="24"/>
          <w:szCs w:val="24"/>
        </w:rPr>
        <w:t>Specific rules for care and support contracts over €750,000</w:t>
      </w:r>
    </w:p>
    <w:p w:rsidR="004B66ED" w:rsidRPr="00DE764E" w:rsidRDefault="004B66ED" w:rsidP="00DE764E">
      <w:pPr>
        <w:spacing w:line="184" w:lineRule="exact"/>
        <w:jc w:val="both"/>
        <w:rPr>
          <w:rFonts w:ascii="Arial" w:eastAsia="Times New Roman" w:hAnsi="Arial"/>
          <w:sz w:val="24"/>
          <w:szCs w:val="24"/>
        </w:rPr>
      </w:pPr>
    </w:p>
    <w:p w:rsidR="004B66ED" w:rsidRPr="00DE764E" w:rsidRDefault="004B66ED" w:rsidP="00DE764E">
      <w:pPr>
        <w:tabs>
          <w:tab w:val="left" w:pos="686"/>
        </w:tabs>
        <w:spacing w:line="259" w:lineRule="auto"/>
        <w:ind w:left="686" w:right="160"/>
        <w:jc w:val="both"/>
        <w:rPr>
          <w:rFonts w:ascii="Arial" w:eastAsia="Arial" w:hAnsi="Arial"/>
          <w:color w:val="002A7C"/>
          <w:sz w:val="24"/>
          <w:szCs w:val="24"/>
        </w:rPr>
      </w:pPr>
      <w:r w:rsidRPr="00DE764E">
        <w:rPr>
          <w:rFonts w:ascii="Arial" w:eastAsia="Arial" w:hAnsi="Arial"/>
          <w:sz w:val="24"/>
          <w:szCs w:val="24"/>
        </w:rPr>
        <w:t xml:space="preserve">For contracts or framework agreements with a value greater than, or equal to €750,000 </w:t>
      </w:r>
      <w:r w:rsidRPr="00DE764E">
        <w:rPr>
          <w:rFonts w:ascii="Arial" w:eastAsia="Arial" w:hAnsi="Arial"/>
          <w:b/>
          <w:sz w:val="24"/>
          <w:szCs w:val="24"/>
        </w:rPr>
        <w:t>all of the ‘light-touch’ provisions (described in</w:t>
      </w:r>
      <w:r w:rsidRPr="00DE764E">
        <w:rPr>
          <w:rFonts w:ascii="Arial" w:eastAsia="Arial" w:hAnsi="Arial"/>
          <w:sz w:val="24"/>
          <w:szCs w:val="24"/>
        </w:rPr>
        <w:t xml:space="preserve"> </w:t>
      </w:r>
      <w:hyperlink r:id="rId8" w:history="1">
        <w:r w:rsidRPr="00DE764E">
          <w:rPr>
            <w:rFonts w:ascii="Arial" w:eastAsia="Arial" w:hAnsi="Arial"/>
            <w:color w:val="002A7C"/>
            <w:sz w:val="24"/>
            <w:szCs w:val="24"/>
            <w:u w:val="single"/>
          </w:rPr>
          <w:t>regulations 74-</w:t>
        </w:r>
      </w:hyperlink>
      <w:hyperlink r:id="rId9" w:history="1">
        <w:r w:rsidRPr="00DE764E">
          <w:rPr>
            <w:rFonts w:ascii="Arial" w:eastAsia="Arial" w:hAnsi="Arial"/>
            <w:color w:val="002A7C"/>
            <w:sz w:val="24"/>
            <w:szCs w:val="24"/>
            <w:u w:val="single"/>
          </w:rPr>
          <w:t>76 of The Public Contracts (Scotland) Regulations 2015</w:t>
        </w:r>
      </w:hyperlink>
      <w:r w:rsidRPr="00DE764E">
        <w:rPr>
          <w:rFonts w:ascii="Arial" w:eastAsia="Arial" w:hAnsi="Arial"/>
          <w:color w:val="000000"/>
          <w:sz w:val="24"/>
          <w:szCs w:val="24"/>
        </w:rPr>
        <w:t>)</w:t>
      </w:r>
      <w:r w:rsidRPr="00DE764E">
        <w:rPr>
          <w:rFonts w:ascii="Arial" w:eastAsia="Arial" w:hAnsi="Arial"/>
          <w:color w:val="002A7C"/>
          <w:sz w:val="24"/>
          <w:szCs w:val="24"/>
        </w:rPr>
        <w:t xml:space="preserve"> </w:t>
      </w:r>
      <w:r w:rsidRPr="00DE764E">
        <w:rPr>
          <w:rFonts w:ascii="Arial" w:eastAsia="Arial" w:hAnsi="Arial"/>
          <w:color w:val="000000"/>
          <w:sz w:val="24"/>
          <w:szCs w:val="24"/>
        </w:rPr>
        <w:t>apply. Specifically,</w:t>
      </w:r>
      <w:r w:rsidRPr="00DE764E">
        <w:rPr>
          <w:rFonts w:ascii="Arial" w:eastAsia="Arial" w:hAnsi="Arial"/>
          <w:color w:val="002A7C"/>
          <w:sz w:val="24"/>
          <w:szCs w:val="24"/>
        </w:rPr>
        <w:t xml:space="preserve"> </w:t>
      </w:r>
      <w:r w:rsidRPr="00DE764E">
        <w:rPr>
          <w:rFonts w:ascii="Arial" w:eastAsia="Arial" w:hAnsi="Arial"/>
          <w:color w:val="000000"/>
          <w:sz w:val="24"/>
          <w:szCs w:val="24"/>
        </w:rPr>
        <w:t>the following applies. Public bodies must:</w:t>
      </w:r>
    </w:p>
    <w:p w:rsidR="004B66ED" w:rsidRPr="00DE764E" w:rsidRDefault="004B66ED" w:rsidP="00DE764E">
      <w:pPr>
        <w:spacing w:line="256" w:lineRule="exact"/>
        <w:jc w:val="both"/>
        <w:rPr>
          <w:rFonts w:ascii="Arial" w:eastAsia="Arial" w:hAnsi="Arial"/>
          <w:color w:val="002A7C"/>
          <w:sz w:val="24"/>
          <w:szCs w:val="24"/>
        </w:rPr>
      </w:pPr>
    </w:p>
    <w:p w:rsidR="004B66ED" w:rsidRPr="00DE764E" w:rsidRDefault="004B66ED" w:rsidP="00DE764E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320" w:hanging="286"/>
        <w:jc w:val="both"/>
        <w:rPr>
          <w:rFonts w:ascii="Arial" w:eastAsia="Arial" w:hAnsi="Arial"/>
          <w:sz w:val="24"/>
          <w:szCs w:val="24"/>
        </w:rPr>
      </w:pPr>
      <w:r w:rsidRPr="00DE764E">
        <w:rPr>
          <w:rFonts w:ascii="Arial" w:eastAsia="Arial" w:hAnsi="Arial"/>
          <w:sz w:val="24"/>
          <w:szCs w:val="24"/>
        </w:rPr>
        <w:t xml:space="preserve">publish a </w:t>
      </w:r>
      <w:r w:rsidRPr="00DE764E">
        <w:rPr>
          <w:rFonts w:ascii="Arial" w:eastAsia="Arial" w:hAnsi="Arial"/>
          <w:b/>
          <w:sz w:val="24"/>
          <w:szCs w:val="24"/>
        </w:rPr>
        <w:t>contract notice</w:t>
      </w:r>
      <w:r w:rsidRPr="00DE764E">
        <w:rPr>
          <w:rFonts w:ascii="Arial" w:eastAsia="Arial" w:hAnsi="Arial"/>
          <w:sz w:val="24"/>
          <w:szCs w:val="24"/>
        </w:rPr>
        <w:t xml:space="preserve"> or </w:t>
      </w:r>
      <w:r w:rsidRPr="00DE764E">
        <w:rPr>
          <w:rFonts w:ascii="Arial" w:eastAsia="Arial" w:hAnsi="Arial"/>
          <w:b/>
          <w:sz w:val="24"/>
          <w:szCs w:val="24"/>
        </w:rPr>
        <w:t>Prior Information Notice (PIN)</w:t>
      </w:r>
      <w:r w:rsidRPr="00DE764E">
        <w:rPr>
          <w:rFonts w:ascii="Arial" w:eastAsia="Arial" w:hAnsi="Arial"/>
          <w:sz w:val="24"/>
          <w:szCs w:val="24"/>
        </w:rPr>
        <w:t xml:space="preserve"> as a call for competition (unless it is a direct award without competition) on PCS for onward submission to the OJEU;</w:t>
      </w:r>
    </w:p>
    <w:p w:rsidR="004B66ED" w:rsidRPr="00DE764E" w:rsidRDefault="004B66ED" w:rsidP="00DE764E">
      <w:pPr>
        <w:spacing w:line="130" w:lineRule="exact"/>
        <w:jc w:val="both"/>
        <w:rPr>
          <w:rFonts w:ascii="Arial" w:eastAsia="Arial" w:hAnsi="Arial"/>
          <w:sz w:val="24"/>
          <w:szCs w:val="24"/>
        </w:rPr>
      </w:pPr>
    </w:p>
    <w:p w:rsidR="004B66ED" w:rsidRPr="00DE764E" w:rsidRDefault="004B66ED" w:rsidP="00DE764E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4"/>
          <w:szCs w:val="24"/>
        </w:rPr>
      </w:pPr>
      <w:r w:rsidRPr="00DE764E">
        <w:rPr>
          <w:rFonts w:ascii="Arial" w:eastAsia="Arial" w:hAnsi="Arial"/>
          <w:sz w:val="24"/>
          <w:szCs w:val="24"/>
        </w:rPr>
        <w:t xml:space="preserve">publish a </w:t>
      </w:r>
      <w:r w:rsidRPr="00DE764E">
        <w:rPr>
          <w:rFonts w:ascii="Arial" w:eastAsia="Arial" w:hAnsi="Arial"/>
          <w:b/>
          <w:sz w:val="24"/>
          <w:szCs w:val="24"/>
        </w:rPr>
        <w:t>contract award notice</w:t>
      </w:r>
      <w:r w:rsidRPr="00DE764E">
        <w:rPr>
          <w:rFonts w:ascii="Arial" w:eastAsia="Arial" w:hAnsi="Arial"/>
          <w:sz w:val="24"/>
          <w:szCs w:val="24"/>
        </w:rPr>
        <w:t>; and</w:t>
      </w:r>
    </w:p>
    <w:p w:rsidR="004B66ED" w:rsidRPr="00DE764E" w:rsidRDefault="004B66ED" w:rsidP="00DE764E">
      <w:pPr>
        <w:spacing w:line="182" w:lineRule="exact"/>
        <w:jc w:val="both"/>
        <w:rPr>
          <w:rFonts w:ascii="Arial" w:eastAsia="Arial" w:hAnsi="Arial"/>
          <w:sz w:val="24"/>
          <w:szCs w:val="24"/>
        </w:rPr>
      </w:pPr>
    </w:p>
    <w:p w:rsidR="004B66ED" w:rsidRPr="00DE764E" w:rsidRDefault="004B66ED" w:rsidP="00DE764E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560" w:hanging="286"/>
        <w:jc w:val="both"/>
        <w:rPr>
          <w:rFonts w:ascii="Arial" w:eastAsia="Arial" w:hAnsi="Arial"/>
          <w:sz w:val="24"/>
          <w:szCs w:val="24"/>
        </w:rPr>
      </w:pPr>
      <w:r w:rsidRPr="00DE764E">
        <w:rPr>
          <w:rFonts w:ascii="Arial" w:eastAsia="Arial" w:hAnsi="Arial"/>
          <w:sz w:val="24"/>
          <w:szCs w:val="24"/>
        </w:rPr>
        <w:t xml:space="preserve">continue to follow a process that ensures the observance of the </w:t>
      </w:r>
      <w:proofErr w:type="spellStart"/>
      <w:r w:rsidRPr="00DE764E">
        <w:rPr>
          <w:rFonts w:ascii="Arial" w:eastAsia="Arial" w:hAnsi="Arial"/>
          <w:sz w:val="24"/>
          <w:szCs w:val="24"/>
        </w:rPr>
        <w:t>TFEU</w:t>
      </w:r>
      <w:proofErr w:type="spellEnd"/>
      <w:r w:rsidRPr="00DE764E">
        <w:rPr>
          <w:rFonts w:ascii="Arial" w:eastAsia="Arial" w:hAnsi="Arial"/>
          <w:sz w:val="24"/>
          <w:szCs w:val="24"/>
        </w:rPr>
        <w:t xml:space="preserve"> fundamental principles of transparency, equal treatment and non-discrimination, proportionality and mutual recognition.</w:t>
      </w:r>
    </w:p>
    <w:p w:rsidR="004B66ED" w:rsidRPr="00DE764E" w:rsidRDefault="004B66ED" w:rsidP="00DE764E">
      <w:pPr>
        <w:spacing w:line="132" w:lineRule="exact"/>
        <w:jc w:val="both"/>
        <w:rPr>
          <w:rFonts w:ascii="Arial" w:eastAsia="Arial" w:hAnsi="Arial"/>
          <w:sz w:val="24"/>
          <w:szCs w:val="24"/>
        </w:rPr>
      </w:pPr>
    </w:p>
    <w:p w:rsidR="004B66ED" w:rsidRPr="00DE764E" w:rsidRDefault="004B66ED" w:rsidP="00DE764E">
      <w:pPr>
        <w:spacing w:line="259" w:lineRule="auto"/>
        <w:ind w:left="686" w:right="240"/>
        <w:jc w:val="both"/>
        <w:rPr>
          <w:rFonts w:ascii="Arial" w:eastAsia="Arial" w:hAnsi="Arial"/>
          <w:color w:val="000000"/>
          <w:sz w:val="24"/>
          <w:szCs w:val="24"/>
        </w:rPr>
      </w:pPr>
      <w:r w:rsidRPr="00DE764E">
        <w:rPr>
          <w:rFonts w:ascii="Arial" w:eastAsia="Arial" w:hAnsi="Arial"/>
          <w:sz w:val="24"/>
          <w:szCs w:val="24"/>
        </w:rPr>
        <w:t xml:space="preserve">Also, </w:t>
      </w:r>
      <w:hyperlink r:id="rId10" w:history="1">
        <w:r w:rsidRPr="00DE764E">
          <w:rPr>
            <w:rFonts w:ascii="Arial" w:eastAsia="Arial" w:hAnsi="Arial"/>
            <w:color w:val="002A7C"/>
            <w:sz w:val="24"/>
            <w:szCs w:val="24"/>
            <w:u w:val="single"/>
          </w:rPr>
          <w:t>regulation 58(1) and 58(3) of the Public Contracts (Scotland)</w:t>
        </w:r>
      </w:hyperlink>
      <w:r w:rsidRPr="00DE764E">
        <w:rPr>
          <w:rFonts w:ascii="Arial" w:eastAsia="Arial" w:hAnsi="Arial"/>
          <w:sz w:val="24"/>
          <w:szCs w:val="24"/>
        </w:rPr>
        <w:t xml:space="preserve"> </w:t>
      </w:r>
      <w:hyperlink r:id="rId11" w:history="1">
        <w:r w:rsidRPr="00DE764E">
          <w:rPr>
            <w:rFonts w:ascii="Arial" w:eastAsia="Arial" w:hAnsi="Arial"/>
            <w:color w:val="002A7C"/>
            <w:sz w:val="24"/>
            <w:szCs w:val="24"/>
            <w:u w:val="single"/>
          </w:rPr>
          <w:t>Regulations 2015</w:t>
        </w:r>
        <w:r w:rsidRPr="00DE764E">
          <w:rPr>
            <w:rFonts w:ascii="Arial" w:eastAsia="Arial" w:hAnsi="Arial"/>
            <w:color w:val="002A7C"/>
            <w:sz w:val="24"/>
            <w:szCs w:val="24"/>
          </w:rPr>
          <w:t xml:space="preserve"> </w:t>
        </w:r>
      </w:hyperlink>
      <w:r w:rsidRPr="00DE764E">
        <w:rPr>
          <w:rFonts w:ascii="Arial" w:eastAsia="Arial" w:hAnsi="Arial"/>
          <w:color w:val="000000"/>
          <w:sz w:val="24"/>
          <w:szCs w:val="24"/>
        </w:rPr>
        <w:t>require</w:t>
      </w:r>
      <w:r w:rsidRPr="00DE764E">
        <w:rPr>
          <w:rFonts w:ascii="Arial" w:eastAsia="Arial" w:hAnsi="Arial"/>
          <w:color w:val="002A7C"/>
          <w:sz w:val="24"/>
          <w:szCs w:val="24"/>
        </w:rPr>
        <w:t xml:space="preserve"> </w:t>
      </w:r>
      <w:r w:rsidRPr="00DE764E">
        <w:rPr>
          <w:rFonts w:ascii="Arial" w:eastAsia="Arial" w:hAnsi="Arial"/>
          <w:color w:val="000000"/>
          <w:sz w:val="24"/>
          <w:szCs w:val="24"/>
        </w:rPr>
        <w:t>that a public body must consider whether any of</w:t>
      </w:r>
      <w:r w:rsidRPr="00DE764E">
        <w:rPr>
          <w:rFonts w:ascii="Arial" w:eastAsia="Arial" w:hAnsi="Arial"/>
          <w:color w:val="002A7C"/>
          <w:sz w:val="24"/>
          <w:szCs w:val="24"/>
        </w:rPr>
        <w:t xml:space="preserve"> </w:t>
      </w:r>
      <w:r w:rsidRPr="00DE764E">
        <w:rPr>
          <w:rFonts w:ascii="Arial" w:eastAsia="Arial" w:hAnsi="Arial"/>
          <w:color w:val="000000"/>
          <w:sz w:val="24"/>
          <w:szCs w:val="24"/>
        </w:rPr>
        <w:t>the mandatory exclusion grounds referred to in those regulations apply in respect of the potential service provider.</w:t>
      </w:r>
    </w:p>
    <w:p w:rsidR="00E3599D" w:rsidRDefault="00E3599D" w:rsidP="00E36759"/>
    <w:sectPr w:rsidR="00E3599D" w:rsidSect="00AB54FF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04" w:rsidRDefault="00304F04">
      <w:r>
        <w:separator/>
      </w:r>
    </w:p>
  </w:endnote>
  <w:endnote w:type="continuationSeparator" w:id="0">
    <w:p w:rsidR="00304F04" w:rsidRDefault="003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23" w:rsidRPr="00214B23" w:rsidRDefault="00214B23" w:rsidP="00214B23">
    <w:pPr>
      <w:jc w:val="right"/>
      <w:rPr>
        <w:rFonts w:ascii="Arial" w:eastAsia="Times New Roman" w:hAnsi="Arial"/>
        <w:b/>
        <w:sz w:val="24"/>
        <w:szCs w:val="24"/>
      </w:rPr>
    </w:pPr>
    <w:r w:rsidRPr="00214B23">
      <w:rPr>
        <w:rFonts w:ascii="Arial" w:hAnsi="Arial"/>
        <w:b/>
        <w:bCs/>
        <w:color w:val="CC3300"/>
        <w:sz w:val="24"/>
        <w:szCs w:val="24"/>
      </w:rPr>
      <w:t>Pr</w:t>
    </w:r>
    <w:r w:rsidRPr="00214B23">
      <w:rPr>
        <w:rStyle w:val="branding--black"/>
        <w:rFonts w:ascii="Arial" w:hAnsi="Arial"/>
        <w:b/>
        <w:bCs/>
        <w:sz w:val="24"/>
        <w:szCs w:val="24"/>
      </w:rPr>
      <w:t>o</w:t>
    </w:r>
    <w:r w:rsidRPr="00214B23">
      <w:rPr>
        <w:rFonts w:ascii="Arial" w:hAnsi="Arial"/>
        <w:b/>
        <w:bCs/>
        <w:color w:val="CC3300"/>
        <w:sz w:val="24"/>
        <w:szCs w:val="24"/>
      </w:rPr>
      <w:t>curement J</w:t>
    </w:r>
    <w:r w:rsidRPr="00214B23">
      <w:rPr>
        <w:rStyle w:val="branding--black"/>
        <w:rFonts w:ascii="Arial" w:hAnsi="Arial"/>
        <w:b/>
        <w:bCs/>
        <w:sz w:val="24"/>
        <w:szCs w:val="24"/>
      </w:rPr>
      <w:t>o</w:t>
    </w:r>
    <w:r w:rsidRPr="00214B23">
      <w:rPr>
        <w:rFonts w:ascii="Arial" w:hAnsi="Arial"/>
        <w:b/>
        <w:bCs/>
        <w:color w:val="CC3300"/>
        <w:sz w:val="24"/>
        <w:szCs w:val="24"/>
      </w:rPr>
      <w:t>urney</w:t>
    </w:r>
    <w:r w:rsidRPr="00214B23">
      <w:rPr>
        <w:rFonts w:ascii="Arial" w:hAnsi="Arial"/>
        <w:b/>
        <w:sz w:val="24"/>
        <w:szCs w:val="24"/>
      </w:rPr>
      <w:t xml:space="preserve"> </w:t>
    </w:r>
  </w:p>
  <w:p w:rsidR="003F2479" w:rsidRPr="00BC7E92" w:rsidRDefault="00BC7E9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4"/>
        <w:szCs w:val="24"/>
      </w:rPr>
    </w:pPr>
    <w:r w:rsidRPr="00BC7E92">
      <w:rPr>
        <w:sz w:val="24"/>
        <w:szCs w:val="24"/>
      </w:rPr>
      <w:t xml:space="preserve">Ref: </w:t>
    </w:r>
    <w:proofErr w:type="spellStart"/>
    <w:r w:rsidRPr="00BC7E92">
      <w:rPr>
        <w:sz w:val="24"/>
        <w:szCs w:val="24"/>
      </w:rPr>
      <w:t>R3</w:t>
    </w:r>
    <w:proofErr w:type="spellEnd"/>
    <w:r w:rsidRPr="00BC7E92">
      <w:rPr>
        <w:sz w:val="24"/>
        <w:szCs w:val="24"/>
      </w:rPr>
      <w:t>-73-A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04" w:rsidRDefault="00304F04">
      <w:r>
        <w:separator/>
      </w:r>
    </w:p>
  </w:footnote>
  <w:footnote w:type="continuationSeparator" w:id="0">
    <w:p w:rsidR="00304F04" w:rsidRDefault="003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44"/>
    <w:multiLevelType w:val="hybridMultilevel"/>
    <w:tmpl w:val="175DFCF0"/>
    <w:lvl w:ilvl="0" w:tplc="FFFFFFFF">
      <w:start w:val="8"/>
      <w:numFmt w:val="decimal"/>
      <w:lvlText w:val="8.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ED"/>
    <w:rsid w:val="00100021"/>
    <w:rsid w:val="001267F7"/>
    <w:rsid w:val="00157346"/>
    <w:rsid w:val="00192DC7"/>
    <w:rsid w:val="001C40A7"/>
    <w:rsid w:val="00214B23"/>
    <w:rsid w:val="002F3688"/>
    <w:rsid w:val="00302396"/>
    <w:rsid w:val="00304F04"/>
    <w:rsid w:val="003C0A97"/>
    <w:rsid w:val="003F2479"/>
    <w:rsid w:val="00411FC4"/>
    <w:rsid w:val="004B66ED"/>
    <w:rsid w:val="005C55FB"/>
    <w:rsid w:val="00634142"/>
    <w:rsid w:val="0067486A"/>
    <w:rsid w:val="006D26F7"/>
    <w:rsid w:val="008B0A0E"/>
    <w:rsid w:val="00944FC2"/>
    <w:rsid w:val="00952710"/>
    <w:rsid w:val="009D5256"/>
    <w:rsid w:val="009F71B8"/>
    <w:rsid w:val="00A56EBA"/>
    <w:rsid w:val="00A90A53"/>
    <w:rsid w:val="00AB54FF"/>
    <w:rsid w:val="00AC310B"/>
    <w:rsid w:val="00AE01CB"/>
    <w:rsid w:val="00BC7E92"/>
    <w:rsid w:val="00C86FBA"/>
    <w:rsid w:val="00DE764E"/>
    <w:rsid w:val="00E3599D"/>
    <w:rsid w:val="00E36759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94204"/>
  <w15:docId w15:val="{5D3CB342-C9A5-4B69-AB84-46D4923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ED"/>
    <w:rPr>
      <w:rFonts w:ascii="Calibri" w:eastAsia="Calibri" w:hAnsi="Calibri" w:cs="Arial"/>
      <w:sz w:val="20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semiHidden/>
    <w:unhideWhenUsed/>
    <w:rsid w:val="004B6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6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6ED"/>
    <w:rPr>
      <w:rFonts w:ascii="Calibri" w:eastAsia="Calibri" w:hAnsi="Calibri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D"/>
    <w:rPr>
      <w:rFonts w:ascii="Tahoma" w:eastAsia="Calibri" w:hAnsi="Tahoma" w:cs="Tahoma"/>
      <w:sz w:val="16"/>
      <w:szCs w:val="16"/>
    </w:rPr>
  </w:style>
  <w:style w:type="character" w:customStyle="1" w:styleId="branding--black">
    <w:name w:val="branding--black"/>
    <w:basedOn w:val="DefaultParagraphFont"/>
    <w:rsid w:val="002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ssi/2015/446/part/2/chapter/3/crossheading/social-and-other-specific-services/ma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ssi/2015/446/regulation/58/m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ssi/2015/446/regulation/58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ssi/2015/446/part/2/chapter/3/crossheading/social-and-other-specific-services/m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A28366197</value>
    </field>
    <field name="Objective-Title">
      <value order="0">Specific Rules for care and support contracts over 750k</value>
    </field>
    <field name="Objective-Description">
      <value order="0">Updated New Doc</value>
    </field>
    <field name="Objective-CreationStamp">
      <value order="0">2020-05-14T13:51:18Z</value>
    </field>
    <field name="Objective-IsApproved">
      <value order="0">false</value>
    </field>
    <field name="Objective-IsPublished">
      <value order="0">true</value>
    </field>
    <field name="Objective-DatePublished">
      <value order="0">2020-05-14T13:51:17Z</value>
    </field>
    <field name="Objective-ModificationStamp">
      <value order="0">2020-05-14T13:51:18Z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vA41151131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Naughton P (Paula)</cp:lastModifiedBy>
  <cp:revision>4</cp:revision>
  <dcterms:created xsi:type="dcterms:W3CDTF">2020-11-05T14:31:00Z</dcterms:created>
  <dcterms:modified xsi:type="dcterms:W3CDTF">2020-11-05T15:41:00Z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A28366197</vt:lpwstr>
  </property>
  <property fmtid="{D5CDD505-2E9C-101B-9397-08002B2CF9AE}" pid="4" name="Objective-Title">
    <vt:lpwstr>Specific Rules for care and support contracts over 750k</vt:lpwstr>
  </property>
  <property fmtid="{D5CDD505-2E9C-101B-9397-08002B2CF9AE}" pid="5" name="Objective-Comment">
    <vt:lpwstr/>
  </property>
  <property fmtid="{D5CDD505-2E9C-101B-9397-08002B2CF9AE}" pid="6" name="Objective-CreationStamp">
    <vt:filetime>2020-05-14T13:51:18Z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2020-05-14T13:51:17Z</vt:filetime>
  </property>
  <property fmtid="{D5CDD505-2E9C-101B-9397-08002B2CF9AE}" pid="10" name="Objective-ModificationStamp">
    <vt:filetime>2020-05-14T13:51:18Z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CASE/491146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>Updated New Doc</vt:lpwstr>
  </property>
  <property fmtid="{D5CDD505-2E9C-101B-9397-08002B2CF9AE}" pid="26" name="Objective-VersionId">
    <vt:lpwstr>vA41151131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